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180" w:tblpY="-127"/>
        <w:tblW w:w="5258" w:type="pct"/>
        <w:tblLook w:val="01E0" w:firstRow="1" w:lastRow="1" w:firstColumn="1" w:lastColumn="1" w:noHBand="0" w:noVBand="0"/>
      </w:tblPr>
      <w:tblGrid>
        <w:gridCol w:w="3648"/>
        <w:gridCol w:w="6384"/>
      </w:tblGrid>
      <w:tr w:rsidR="004E30A9" w:rsidRPr="004E30A9" w14:paraId="5DFCA4E5" w14:textId="77777777" w:rsidTr="009B2D6A">
        <w:trPr>
          <w:trHeight w:val="1173"/>
        </w:trPr>
        <w:tc>
          <w:tcPr>
            <w:tcW w:w="1818" w:type="pct"/>
          </w:tcPr>
          <w:p w14:paraId="3BA31DE2" w14:textId="77777777" w:rsidR="004E30A9" w:rsidRPr="004E30A9" w:rsidRDefault="004E30A9" w:rsidP="009B2D6A">
            <w:pPr>
              <w:spacing w:after="0" w:line="240" w:lineRule="auto"/>
              <w:jc w:val="center"/>
              <w:rPr>
                <w:rFonts w:ascii="Times New Roman" w:hAnsi="Times New Roman" w:cs="Times New Roman"/>
                <w:b/>
                <w:color w:val="000000"/>
                <w:sz w:val="28"/>
                <w:szCs w:val="28"/>
              </w:rPr>
            </w:pPr>
            <w:bookmarkStart w:id="0" w:name="_GoBack"/>
            <w:bookmarkEnd w:id="0"/>
            <w:r w:rsidRPr="004E30A9">
              <w:rPr>
                <w:rFonts w:ascii="Times New Roman" w:hAnsi="Times New Roman" w:cs="Times New Roman"/>
                <w:b/>
                <w:color w:val="000000"/>
                <w:sz w:val="28"/>
                <w:szCs w:val="28"/>
              </w:rPr>
              <w:t>NGÂN HÀNG NHÀ NƯỚC VIỆT NAM</w:t>
            </w:r>
          </w:p>
          <w:p w14:paraId="7BBE40A3" w14:textId="2E416729" w:rsidR="004E30A9" w:rsidRPr="004E30A9" w:rsidRDefault="004E30A9" w:rsidP="009B2D6A">
            <w:pPr>
              <w:spacing w:before="240" w:after="0" w:line="240" w:lineRule="auto"/>
              <w:jc w:val="center"/>
              <w:rPr>
                <w:rFonts w:ascii="Times New Roman" w:hAnsi="Times New Roman" w:cs="Times New Roman"/>
                <w:color w:val="000000"/>
                <w:sz w:val="28"/>
                <w:szCs w:val="28"/>
              </w:rPr>
            </w:pPr>
            <w:r w:rsidRPr="004E30A9">
              <w:rPr>
                <w:rFonts w:ascii="Times New Roman" w:hAnsi="Times New Roman" w:cs="Times New Roman"/>
                <w:noProof/>
                <w:color w:val="000000"/>
                <w:sz w:val="28"/>
                <w:szCs w:val="28"/>
              </w:rPr>
              <mc:AlternateContent>
                <mc:Choice Requires="wps">
                  <w:drawing>
                    <wp:anchor distT="4294967292" distB="4294967292" distL="114300" distR="114300" simplePos="0" relativeHeight="251660288" behindDoc="0" locked="0" layoutInCell="1" allowOverlap="1" wp14:anchorId="404EDDE7" wp14:editId="0FA55EF1">
                      <wp:simplePos x="0" y="0"/>
                      <wp:positionH relativeFrom="column">
                        <wp:posOffset>727883</wp:posOffset>
                      </wp:positionH>
                      <wp:positionV relativeFrom="paragraph">
                        <wp:posOffset>8890</wp:posOffset>
                      </wp:positionV>
                      <wp:extent cx="739140" cy="0"/>
                      <wp:effectExtent l="0" t="0" r="2286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9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66E2DA" id="Straight Connector 10"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7.3pt,.7pt" to="115.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"/>
                  </w:pict>
                </mc:Fallback>
              </mc:AlternateContent>
            </w:r>
          </w:p>
        </w:tc>
        <w:tc>
          <w:tcPr>
            <w:tcW w:w="3182" w:type="pct"/>
          </w:tcPr>
          <w:p w14:paraId="4CC2AFBD" w14:textId="77777777" w:rsidR="004E30A9" w:rsidRPr="004E30A9" w:rsidRDefault="004E30A9" w:rsidP="009B2D6A">
            <w:pPr>
              <w:spacing w:after="0" w:line="240" w:lineRule="auto"/>
              <w:ind w:left="-108" w:right="-108"/>
              <w:jc w:val="center"/>
              <w:rPr>
                <w:rFonts w:ascii="Times New Roman" w:hAnsi="Times New Roman" w:cs="Times New Roman"/>
                <w:b/>
                <w:color w:val="000000"/>
                <w:sz w:val="28"/>
                <w:szCs w:val="28"/>
              </w:rPr>
            </w:pPr>
            <w:r w:rsidRPr="004E30A9">
              <w:rPr>
                <w:rFonts w:ascii="Times New Roman" w:hAnsi="Times New Roman" w:cs="Times New Roman"/>
                <w:b/>
                <w:color w:val="000000"/>
                <w:sz w:val="28"/>
                <w:szCs w:val="28"/>
              </w:rPr>
              <w:t>CỘNG HOÀ XÃ HỘI CHỦ NGHĨA VIỆT NAM</w:t>
            </w:r>
          </w:p>
          <w:p w14:paraId="63DCCFAF" w14:textId="77777777" w:rsidR="004E30A9" w:rsidRPr="004E30A9" w:rsidRDefault="004E30A9" w:rsidP="009B2D6A">
            <w:pPr>
              <w:spacing w:after="0" w:line="240" w:lineRule="auto"/>
              <w:jc w:val="center"/>
              <w:rPr>
                <w:rFonts w:ascii="Times New Roman" w:hAnsi="Times New Roman" w:cs="Times New Roman"/>
                <w:b/>
                <w:color w:val="000000"/>
                <w:sz w:val="28"/>
                <w:szCs w:val="28"/>
              </w:rPr>
            </w:pPr>
            <w:r w:rsidRPr="004E30A9">
              <w:rPr>
                <w:rFonts w:ascii="Times New Roman" w:hAnsi="Times New Roman" w:cs="Times New Roman"/>
                <w:b/>
                <w:color w:val="000000"/>
                <w:sz w:val="28"/>
                <w:szCs w:val="28"/>
              </w:rPr>
              <w:t>Độc lập - Tự do - Hạnh phúc</w:t>
            </w:r>
          </w:p>
          <w:p w14:paraId="2918473D" w14:textId="77777777" w:rsidR="004E30A9" w:rsidRPr="004E30A9" w:rsidRDefault="004E30A9" w:rsidP="009B2D6A">
            <w:pPr>
              <w:spacing w:before="240" w:after="0" w:line="240" w:lineRule="auto"/>
              <w:jc w:val="center"/>
              <w:rPr>
                <w:rFonts w:ascii="Times New Roman" w:hAnsi="Times New Roman" w:cs="Times New Roman"/>
                <w:i/>
                <w:color w:val="000000"/>
                <w:sz w:val="28"/>
                <w:szCs w:val="28"/>
              </w:rPr>
            </w:pPr>
            <w:r w:rsidRPr="004E30A9">
              <w:rPr>
                <w:rFonts w:ascii="Times New Roman" w:hAnsi="Times New Roman" w:cs="Times New Roman"/>
                <w:i/>
                <w:noProof/>
                <w:color w:val="000000"/>
                <w:sz w:val="28"/>
                <w:szCs w:val="28"/>
              </w:rPr>
              <mc:AlternateContent>
                <mc:Choice Requires="wps">
                  <w:drawing>
                    <wp:anchor distT="4294967295" distB="4294967295" distL="114300" distR="114300" simplePos="0" relativeHeight="251661312" behindDoc="0" locked="0" layoutInCell="1" allowOverlap="1" wp14:anchorId="1EFBDD1C" wp14:editId="66B82147">
                      <wp:simplePos x="0" y="0"/>
                      <wp:positionH relativeFrom="column">
                        <wp:posOffset>937491</wp:posOffset>
                      </wp:positionH>
                      <wp:positionV relativeFrom="paragraph">
                        <wp:posOffset>40005</wp:posOffset>
                      </wp:positionV>
                      <wp:extent cx="2004060" cy="0"/>
                      <wp:effectExtent l="0" t="0" r="15240" b="1905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9601A3B" id="_x0000_t32" coordsize="21600,21600" o:spt="32" o:oned="t" path="m,l21600,21600e" filled="f">
                      <v:path arrowok="t" fillok="f" o:connecttype="none"/>
                      <o:lock v:ext="edit" shapetype="t"/>
                    </v:shapetype>
                    <v:shape id="Straight Arrow Connector 11" o:spid="_x0000_s1026" type="#_x0000_t32" style="position:absolute;margin-left:73.8pt;margin-top:3.15pt;width:157.8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"/>
                  </w:pict>
                </mc:Fallback>
              </mc:AlternateContent>
            </w:r>
            <w:r w:rsidRPr="004E30A9">
              <w:rPr>
                <w:rFonts w:ascii="Times New Roman" w:hAnsi="Times New Roman" w:cs="Times New Roman"/>
                <w:i/>
                <w:color w:val="000000"/>
                <w:sz w:val="28"/>
                <w:szCs w:val="28"/>
              </w:rPr>
              <w:t>Hà Nội, ngày     tháng     năm 2025</w:t>
            </w:r>
          </w:p>
          <w:p w14:paraId="2371C0C2" w14:textId="77777777" w:rsidR="004E30A9" w:rsidRPr="004E30A9" w:rsidRDefault="004E30A9" w:rsidP="009B2D6A">
            <w:pPr>
              <w:spacing w:after="0" w:line="240" w:lineRule="auto"/>
              <w:jc w:val="center"/>
              <w:rPr>
                <w:rFonts w:ascii="Times New Roman" w:hAnsi="Times New Roman" w:cs="Times New Roman"/>
                <w:b/>
                <w:color w:val="000000"/>
                <w:sz w:val="28"/>
                <w:szCs w:val="28"/>
              </w:rPr>
            </w:pPr>
          </w:p>
        </w:tc>
      </w:tr>
    </w:tbl>
    <w:p w14:paraId="21CCD498" w14:textId="77777777" w:rsidR="004E30A9" w:rsidRDefault="00EB6ED7" w:rsidP="00EB6ED7">
      <w:pPr>
        <w:jc w:val="center"/>
        <w:rPr>
          <w:rFonts w:ascii="Times New Roman" w:hAnsi="Times New Roman" w:cs="Times New Roman"/>
          <w:b/>
          <w:sz w:val="26"/>
          <w:szCs w:val="26"/>
        </w:rPr>
      </w:pPr>
      <w:r w:rsidRPr="004E30A9">
        <w:rPr>
          <w:rFonts w:ascii="Times New Roman" w:hAnsi="Times New Roman" w:cs="Times New Roman"/>
          <w:b/>
          <w:sz w:val="26"/>
          <w:szCs w:val="26"/>
        </w:rPr>
        <w:t xml:space="preserve">       </w:t>
      </w:r>
    </w:p>
    <w:p w14:paraId="2BC4992B" w14:textId="4A04A090" w:rsidR="004F3AA2" w:rsidRPr="004E30A9" w:rsidRDefault="002D39C7" w:rsidP="004E30A9">
      <w:pPr>
        <w:jc w:val="center"/>
        <w:rPr>
          <w:rFonts w:ascii="Times New Roman" w:hAnsi="Times New Roman" w:cs="Times New Roman"/>
          <w:b/>
          <w:sz w:val="26"/>
          <w:szCs w:val="26"/>
        </w:rPr>
      </w:pPr>
      <w:r w:rsidRPr="004E30A9">
        <w:rPr>
          <w:rFonts w:ascii="Times New Roman" w:hAnsi="Times New Roman" w:cs="Times New Roman"/>
          <w:b/>
          <w:sz w:val="26"/>
          <w:szCs w:val="26"/>
        </w:rPr>
        <w:t>BẢN RÀ SOÁT KINH NGHIỆM QUỐC TẾ</w:t>
      </w:r>
      <w:r w:rsidR="00F51DC7" w:rsidRPr="004E30A9">
        <w:rPr>
          <w:rStyle w:val="FootnoteReference"/>
          <w:rFonts w:ascii="Times New Roman" w:hAnsi="Times New Roman" w:cs="Times New Roman"/>
          <w:b/>
          <w:sz w:val="26"/>
          <w:szCs w:val="26"/>
        </w:rPr>
        <w:footnoteReference w:id="1"/>
      </w:r>
    </w:p>
    <w:p w14:paraId="2C98D81A" w14:textId="4958845D" w:rsidR="004F3AA2" w:rsidRPr="004E30A9" w:rsidRDefault="00EB6ED7" w:rsidP="004E30A9">
      <w:pPr>
        <w:jc w:val="center"/>
        <w:rPr>
          <w:rFonts w:ascii="Times New Roman" w:hAnsi="Times New Roman" w:cs="Times New Roman"/>
          <w:b/>
          <w:sz w:val="26"/>
          <w:szCs w:val="26"/>
        </w:rPr>
      </w:pPr>
      <w:r w:rsidRPr="004E30A9">
        <w:rPr>
          <w:rFonts w:ascii="Times New Roman" w:hAnsi="Times New Roman" w:cs="Times New Roman"/>
          <w:b/>
          <w:sz w:val="26"/>
          <w:szCs w:val="26"/>
        </w:rPr>
        <w:t>A. CHÍNH SÁCH PHÍ BẢO HIỂM TIỀN GỬI:</w:t>
      </w:r>
    </w:p>
    <w:p w14:paraId="18CDB6B9" w14:textId="5762402B" w:rsidR="00D53B72" w:rsidRPr="004E30A9" w:rsidRDefault="002D0BD0" w:rsidP="00D53B72">
      <w:pPr>
        <w:spacing w:before="120" w:after="120" w:line="276" w:lineRule="auto"/>
        <w:ind w:firstLine="709"/>
        <w:jc w:val="both"/>
        <w:rPr>
          <w:rFonts w:ascii="Times New Roman" w:hAnsi="Times New Roman" w:cs="Times New Roman"/>
          <w:sz w:val="26"/>
          <w:szCs w:val="26"/>
        </w:rPr>
      </w:pPr>
      <w:r w:rsidRPr="004E30A9">
        <w:rPr>
          <w:rFonts w:ascii="Times New Roman" w:hAnsi="Times New Roman" w:cs="Times New Roman"/>
          <w:sz w:val="26"/>
          <w:szCs w:val="26"/>
        </w:rPr>
        <w:t>Theo khảo sát thường niên năm 2019 của Hiệp hội Bảo hiểm Tiền gửi Quốc tế (IADI), hiện có 52% số tổ chức</w:t>
      </w:r>
      <w:r w:rsidR="00AE1F58" w:rsidRPr="004E30A9">
        <w:rPr>
          <w:rFonts w:ascii="Times New Roman" w:hAnsi="Times New Roman" w:cs="Times New Roman"/>
          <w:sz w:val="26"/>
          <w:szCs w:val="26"/>
        </w:rPr>
        <w:t xml:space="preserve"> Bảo hiểm tiề</w:t>
      </w:r>
      <w:r w:rsidR="004C3BD6" w:rsidRPr="004E30A9">
        <w:rPr>
          <w:rFonts w:ascii="Times New Roman" w:hAnsi="Times New Roman" w:cs="Times New Roman"/>
          <w:sz w:val="26"/>
          <w:szCs w:val="26"/>
        </w:rPr>
        <w:t>n</w:t>
      </w:r>
      <w:r w:rsidR="00AE1F58" w:rsidRPr="004E30A9">
        <w:rPr>
          <w:rFonts w:ascii="Times New Roman" w:hAnsi="Times New Roman" w:cs="Times New Roman"/>
          <w:sz w:val="26"/>
          <w:szCs w:val="26"/>
        </w:rPr>
        <w:t xml:space="preserve"> gửi</w:t>
      </w:r>
      <w:r w:rsidRPr="004E30A9">
        <w:rPr>
          <w:rFonts w:ascii="Times New Roman" w:hAnsi="Times New Roman" w:cs="Times New Roman"/>
          <w:sz w:val="26"/>
          <w:szCs w:val="26"/>
        </w:rPr>
        <w:t xml:space="preserve"> </w:t>
      </w:r>
      <w:r w:rsidR="00AE1F58" w:rsidRPr="004E30A9">
        <w:rPr>
          <w:rFonts w:ascii="Times New Roman" w:hAnsi="Times New Roman" w:cs="Times New Roman"/>
          <w:sz w:val="26"/>
          <w:szCs w:val="26"/>
        </w:rPr>
        <w:t>(</w:t>
      </w:r>
      <w:r w:rsidRPr="004E30A9">
        <w:rPr>
          <w:rFonts w:ascii="Times New Roman" w:hAnsi="Times New Roman" w:cs="Times New Roman"/>
          <w:sz w:val="26"/>
          <w:szCs w:val="26"/>
        </w:rPr>
        <w:t>BHTG</w:t>
      </w:r>
      <w:r w:rsidR="00AE1F58" w:rsidRPr="004E30A9">
        <w:rPr>
          <w:rFonts w:ascii="Times New Roman" w:hAnsi="Times New Roman" w:cs="Times New Roman"/>
          <w:sz w:val="26"/>
          <w:szCs w:val="26"/>
        </w:rPr>
        <w:t>)</w:t>
      </w:r>
      <w:r w:rsidRPr="004E30A9">
        <w:rPr>
          <w:rFonts w:ascii="Times New Roman" w:hAnsi="Times New Roman" w:cs="Times New Roman"/>
          <w:sz w:val="26"/>
          <w:szCs w:val="26"/>
        </w:rPr>
        <w:t xml:space="preserve"> áp dụng hình thức phí đồng hạng, 36% sử dụng phương pháp tính phí phân biệt và 12% kết hợp cả hai cách tính phí này. </w:t>
      </w:r>
    </w:p>
    <w:p w14:paraId="498B54D7" w14:textId="4198CFEA" w:rsidR="004F3AA2" w:rsidRPr="004E30A9" w:rsidRDefault="004F3AA2" w:rsidP="004F3AA2">
      <w:pPr>
        <w:spacing w:before="120" w:after="120" w:line="276" w:lineRule="auto"/>
        <w:ind w:firstLine="709"/>
        <w:jc w:val="both"/>
        <w:rPr>
          <w:rFonts w:ascii="Times New Roman" w:hAnsi="Times New Roman" w:cs="Times New Roman"/>
          <w:sz w:val="26"/>
          <w:szCs w:val="26"/>
        </w:rPr>
      </w:pPr>
      <w:r w:rsidRPr="004E30A9">
        <w:rPr>
          <w:rFonts w:ascii="Times New Roman" w:hAnsi="Times New Roman" w:cs="Times New Roman"/>
          <w:sz w:val="26"/>
          <w:szCs w:val="26"/>
        </w:rPr>
        <w:t>Tại Hàn Quốc,</w:t>
      </w:r>
      <w:r w:rsidRPr="004E30A9">
        <w:rPr>
          <w:rFonts w:ascii="Times New Roman" w:hAnsi="Times New Roman" w:cs="Times New Roman"/>
          <w:b/>
          <w:sz w:val="26"/>
          <w:szCs w:val="26"/>
        </w:rPr>
        <w:t xml:space="preserve"> </w:t>
      </w:r>
      <w:r w:rsidR="00AE1F58" w:rsidRPr="004E30A9">
        <w:rPr>
          <w:rFonts w:ascii="Times New Roman" w:hAnsi="Times New Roman" w:cs="Times New Roman"/>
          <w:sz w:val="26"/>
          <w:szCs w:val="26"/>
        </w:rPr>
        <w:t xml:space="preserve">phương pháp phí phân biệt áp dụng cho từng đối tượng tham gia BHTG. </w:t>
      </w:r>
      <w:r w:rsidRPr="004E30A9">
        <w:rPr>
          <w:rFonts w:ascii="Times New Roman" w:hAnsi="Times New Roman" w:cs="Times New Roman"/>
          <w:sz w:val="26"/>
          <w:szCs w:val="26"/>
        </w:rPr>
        <w:t xml:space="preserve">Mỗi tổ chức tài chính được bảo hiểm phải nộp phí BHTG hàng năm cho </w:t>
      </w:r>
      <w:r w:rsidR="00F51DC7" w:rsidRPr="004E30A9">
        <w:rPr>
          <w:rFonts w:ascii="Times New Roman" w:hAnsi="Times New Roman" w:cs="Times New Roman"/>
          <w:sz w:val="26"/>
          <w:szCs w:val="26"/>
        </w:rPr>
        <w:t>Tổng công ty Bảo hiểm tiền gửi Hàn Quốc (</w:t>
      </w:r>
      <w:r w:rsidRPr="004E30A9">
        <w:rPr>
          <w:rFonts w:ascii="Times New Roman" w:hAnsi="Times New Roman" w:cs="Times New Roman"/>
          <w:sz w:val="26"/>
          <w:szCs w:val="26"/>
        </w:rPr>
        <w:t>KDIC</w:t>
      </w:r>
      <w:r w:rsidR="00F51DC7" w:rsidRPr="004E30A9">
        <w:rPr>
          <w:rFonts w:ascii="Times New Roman" w:hAnsi="Times New Roman" w:cs="Times New Roman"/>
          <w:sz w:val="26"/>
          <w:szCs w:val="26"/>
        </w:rPr>
        <w:t>)</w:t>
      </w:r>
      <w:r w:rsidRPr="004E30A9">
        <w:rPr>
          <w:rFonts w:ascii="Times New Roman" w:hAnsi="Times New Roman" w:cs="Times New Roman"/>
          <w:sz w:val="26"/>
          <w:szCs w:val="26"/>
        </w:rPr>
        <w:t xml:space="preserve"> bằng cách nhân số dư tiền gửi được bảo hiểm với tỷ lệ được quy định cho từng tổ chức. </w:t>
      </w:r>
      <w:r w:rsidR="00AE1F58" w:rsidRPr="004E30A9">
        <w:rPr>
          <w:rFonts w:ascii="Times New Roman" w:hAnsi="Times New Roman" w:cs="Times New Roman"/>
          <w:sz w:val="26"/>
          <w:szCs w:val="26"/>
        </w:rPr>
        <w:t>T</w:t>
      </w:r>
      <w:r w:rsidRPr="004E30A9">
        <w:rPr>
          <w:rFonts w:ascii="Times New Roman" w:hAnsi="Times New Roman" w:cs="Times New Roman"/>
          <w:sz w:val="26"/>
          <w:szCs w:val="26"/>
        </w:rPr>
        <w:t>ỷ lệ phí BHTG hàng năm đối vớ</w:t>
      </w:r>
      <w:r w:rsidR="00AE1F58" w:rsidRPr="004E30A9">
        <w:rPr>
          <w:rFonts w:ascii="Times New Roman" w:hAnsi="Times New Roman" w:cs="Times New Roman"/>
          <w:sz w:val="26"/>
          <w:szCs w:val="26"/>
        </w:rPr>
        <w:t>i: ngân hàng: 0,08%; c</w:t>
      </w:r>
      <w:r w:rsidRPr="004E30A9">
        <w:rPr>
          <w:rFonts w:ascii="Times New Roman" w:hAnsi="Times New Roman" w:cs="Times New Roman"/>
          <w:sz w:val="26"/>
          <w:szCs w:val="26"/>
        </w:rPr>
        <w:t>ông ty đầ</w:t>
      </w:r>
      <w:r w:rsidR="00AE1F58" w:rsidRPr="004E30A9">
        <w:rPr>
          <w:rFonts w:ascii="Times New Roman" w:hAnsi="Times New Roman" w:cs="Times New Roman"/>
          <w:sz w:val="26"/>
          <w:szCs w:val="26"/>
        </w:rPr>
        <w:t>u tư tài chính (0,15%); c</w:t>
      </w:r>
      <w:r w:rsidRPr="004E30A9">
        <w:rPr>
          <w:rFonts w:ascii="Times New Roman" w:hAnsi="Times New Roman" w:cs="Times New Roman"/>
          <w:sz w:val="26"/>
          <w:szCs w:val="26"/>
        </w:rPr>
        <w:t xml:space="preserve">ông ty bảo hiểm (0,15%); </w:t>
      </w:r>
      <w:r w:rsidR="00AE1F58" w:rsidRPr="004E30A9">
        <w:rPr>
          <w:rFonts w:ascii="Times New Roman" w:hAnsi="Times New Roman" w:cs="Times New Roman"/>
          <w:sz w:val="26"/>
          <w:szCs w:val="26"/>
        </w:rPr>
        <w:t>ngân hàng chuyên doanh (0,15%); n</w:t>
      </w:r>
      <w:r w:rsidRPr="004E30A9">
        <w:rPr>
          <w:rFonts w:ascii="Times New Roman" w:hAnsi="Times New Roman" w:cs="Times New Roman"/>
          <w:sz w:val="26"/>
          <w:szCs w:val="26"/>
        </w:rPr>
        <w:t xml:space="preserve">gân hàng tiết kiệm tương hỗ (0,4%). Đây là các mức phí bảo hiểm tiêu chuẩn, tùy theo xếp hạng rủi ro của từng tổ chức có thể áp dụng mức chiết khấu (tối đa - 10%) hoặc mức bổ sung (tối đa 10%). </w:t>
      </w:r>
    </w:p>
    <w:p w14:paraId="02BACD1C" w14:textId="77777777" w:rsidR="002D0BD0" w:rsidRPr="004E30A9" w:rsidRDefault="002D0BD0" w:rsidP="002D0BD0">
      <w:pPr>
        <w:spacing w:before="120" w:after="120" w:line="276" w:lineRule="auto"/>
        <w:ind w:firstLine="709"/>
        <w:jc w:val="both"/>
        <w:rPr>
          <w:rFonts w:ascii="Times New Roman" w:hAnsi="Times New Roman" w:cs="Times New Roman"/>
          <w:sz w:val="26"/>
          <w:szCs w:val="26"/>
        </w:rPr>
      </w:pPr>
      <w:r w:rsidRPr="004E30A9">
        <w:rPr>
          <w:rFonts w:ascii="Times New Roman" w:hAnsi="Times New Roman" w:cs="Times New Roman"/>
          <w:sz w:val="26"/>
          <w:szCs w:val="26"/>
        </w:rPr>
        <w:t>Kể từ khi thành lập vào tháng 9/2005, Tổng công ty Bảo hiểm Tiền gửi Malaysia (PIDM) đã áp dụng cơ chế cấp vốn trước và phí bảo hiểm tiền gửi (BHTG) đồng hạng ở mức 0,06% trên tổng số dư tiền gửi được bảo hiểm. Luật BHTG Malaysia cho phép xây dựng hệ thống phí phân biệt nhằm mục đích tạo ra động lực cho các tổ chức thành viên, hạn chế các hoạt động gây rủi ro quá mức và đảm bảo sự công bằng trong quá trình tính phí BHTG.</w:t>
      </w:r>
    </w:p>
    <w:p w14:paraId="535B6372" w14:textId="33A6FF8A" w:rsidR="002D0BD0" w:rsidRPr="004E30A9" w:rsidRDefault="002D0BD0" w:rsidP="002D0BD0">
      <w:pPr>
        <w:spacing w:before="120" w:after="120" w:line="276" w:lineRule="auto"/>
        <w:ind w:firstLine="709"/>
        <w:jc w:val="both"/>
        <w:rPr>
          <w:rFonts w:ascii="Times New Roman" w:hAnsi="Times New Roman" w:cs="Times New Roman"/>
          <w:sz w:val="26"/>
          <w:szCs w:val="26"/>
        </w:rPr>
      </w:pPr>
      <w:r w:rsidRPr="004E30A9">
        <w:rPr>
          <w:rFonts w:ascii="Times New Roman" w:hAnsi="Times New Roman" w:cs="Times New Roman"/>
          <w:sz w:val="26"/>
          <w:szCs w:val="26"/>
        </w:rPr>
        <w:t xml:space="preserve">Từ năm 2008, PIDM bắt đầu triển khai hệ thống phí phân biệt thay thế cho </w:t>
      </w:r>
      <w:r w:rsidR="004C3BD6" w:rsidRPr="004E30A9">
        <w:rPr>
          <w:rFonts w:ascii="Times New Roman" w:hAnsi="Times New Roman" w:cs="Times New Roman"/>
          <w:sz w:val="26"/>
          <w:szCs w:val="26"/>
        </w:rPr>
        <w:t>hệ thống</w:t>
      </w:r>
      <w:r w:rsidRPr="004E30A9">
        <w:rPr>
          <w:rFonts w:ascii="Times New Roman" w:hAnsi="Times New Roman" w:cs="Times New Roman"/>
          <w:sz w:val="26"/>
          <w:szCs w:val="26"/>
        </w:rPr>
        <w:t xml:space="preserve"> phí đồng hạng, áp dụng cho cả hệ thống tiền gửi thông thường và tiền gửi Hồi giáo, phù hợp với nhiệm vụ của PIDM là thúc đẩy quản lý rủi ro an toàn và góp phần ổn định hệ thống tài chính ngân hàng. Đến nay, PIDM đã phát triển hệ thống phí phân biệt qua các giai đoạn: giai đoạn nền tảng (2009 – 2011), giai đoạn phát triển và củng cố (2012 – 2020), và giai đoạn mở rộng (từ 2021 trở đi).</w:t>
      </w:r>
    </w:p>
    <w:p w14:paraId="45F1F2A7" w14:textId="1F2FC4C9" w:rsidR="00FE5DE7" w:rsidRPr="004E30A9" w:rsidRDefault="004F3AA2" w:rsidP="004E30A9">
      <w:pPr>
        <w:spacing w:before="120" w:after="120" w:line="276" w:lineRule="auto"/>
        <w:ind w:firstLine="709"/>
        <w:jc w:val="both"/>
        <w:rPr>
          <w:rFonts w:ascii="Times New Roman" w:hAnsi="Times New Roman" w:cs="Times New Roman"/>
          <w:sz w:val="26"/>
          <w:szCs w:val="26"/>
        </w:rPr>
      </w:pPr>
      <w:r w:rsidRPr="004E30A9">
        <w:rPr>
          <w:rFonts w:ascii="Times New Roman" w:hAnsi="Times New Roman" w:cs="Times New Roman"/>
          <w:sz w:val="26"/>
          <w:szCs w:val="26"/>
        </w:rPr>
        <w:t xml:space="preserve">Tại Nhật Bản, phí BHTG áp dụng đồng hạng, áp dụng đối với tất cả các tổ chức tham gia bảo hiểm tiền gửi (ở mức </w:t>
      </w:r>
      <w:r w:rsidR="00F25D40" w:rsidRPr="004E30A9">
        <w:rPr>
          <w:rFonts w:ascii="Times New Roman" w:hAnsi="Times New Roman" w:cs="Times New Roman"/>
          <w:sz w:val="26"/>
          <w:szCs w:val="26"/>
        </w:rPr>
        <w:t>-0</w:t>
      </w:r>
      <w:r w:rsidRPr="004E30A9">
        <w:rPr>
          <w:rFonts w:ascii="Times New Roman" w:hAnsi="Times New Roman" w:cs="Times New Roman"/>
          <w:sz w:val="26"/>
          <w:szCs w:val="26"/>
        </w:rPr>
        <w:t>,015% tổng số dư tiền gửi thuộc phạm vi bảo hiể</w:t>
      </w:r>
      <w:r w:rsidR="002D0BD0" w:rsidRPr="004E30A9">
        <w:rPr>
          <w:rFonts w:ascii="Times New Roman" w:hAnsi="Times New Roman" w:cs="Times New Roman"/>
          <w:sz w:val="26"/>
          <w:szCs w:val="26"/>
        </w:rPr>
        <w:t xml:space="preserve">m trong năm 2024). </w:t>
      </w:r>
      <w:r w:rsidR="00FE5DE7" w:rsidRPr="004E30A9">
        <w:rPr>
          <w:rFonts w:ascii="Times New Roman" w:hAnsi="Times New Roman" w:cs="Times New Roman"/>
          <w:sz w:val="26"/>
          <w:szCs w:val="26"/>
        </w:rPr>
        <w:t>Thống kê tỷ lệ phí BHTG trong giai đoạn từ năm 2003 đến năm 2024 như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3441"/>
        <w:gridCol w:w="1323"/>
        <w:gridCol w:w="2383"/>
        <w:gridCol w:w="2383"/>
      </w:tblGrid>
      <w:tr w:rsidR="00FE5DE7" w:rsidRPr="00EB6ED7" w14:paraId="32745695" w14:textId="77777777" w:rsidTr="00ED72CB">
        <w:trPr>
          <w:trHeight w:val="340"/>
        </w:trPr>
        <w:tc>
          <w:tcPr>
            <w:tcW w:w="1806" w:type="pct"/>
            <w:shd w:val="clear" w:color="auto" w:fill="auto"/>
            <w:tcMar>
              <w:top w:w="28" w:type="dxa"/>
              <w:left w:w="28" w:type="dxa"/>
              <w:bottom w:w="28" w:type="dxa"/>
              <w:right w:w="28" w:type="dxa"/>
            </w:tcMar>
            <w:vAlign w:val="center"/>
          </w:tcPr>
          <w:p w14:paraId="6DF6C2F0" w14:textId="77777777" w:rsidR="00FE5DE7" w:rsidRPr="004E30A9" w:rsidRDefault="00FE5DE7" w:rsidP="00ED72CB">
            <w:pPr>
              <w:spacing w:after="0" w:line="240" w:lineRule="auto"/>
              <w:jc w:val="center"/>
              <w:rPr>
                <w:rFonts w:ascii="Times New Roman" w:hAnsi="Times New Roman"/>
                <w:b/>
                <w:bCs/>
                <w:sz w:val="26"/>
                <w:szCs w:val="26"/>
              </w:rPr>
            </w:pPr>
            <w:r w:rsidRPr="004E30A9">
              <w:rPr>
                <w:rFonts w:ascii="Times New Roman" w:hAnsi="Times New Roman"/>
                <w:b/>
                <w:bCs/>
                <w:sz w:val="26"/>
                <w:szCs w:val="26"/>
              </w:rPr>
              <w:t>Thời gian</w:t>
            </w:r>
          </w:p>
        </w:tc>
        <w:tc>
          <w:tcPr>
            <w:tcW w:w="694" w:type="pct"/>
            <w:shd w:val="clear" w:color="auto" w:fill="auto"/>
            <w:tcMar>
              <w:top w:w="28" w:type="dxa"/>
              <w:left w:w="28" w:type="dxa"/>
              <w:bottom w:w="28" w:type="dxa"/>
              <w:right w:w="28" w:type="dxa"/>
            </w:tcMar>
            <w:vAlign w:val="center"/>
          </w:tcPr>
          <w:p w14:paraId="2EA15BF6" w14:textId="77777777" w:rsidR="00FE5DE7" w:rsidRPr="004E30A9" w:rsidRDefault="00FE5DE7" w:rsidP="00ED72CB">
            <w:pPr>
              <w:spacing w:after="0" w:line="240" w:lineRule="auto"/>
              <w:jc w:val="center"/>
              <w:rPr>
                <w:rFonts w:ascii="Times New Roman" w:hAnsi="Times New Roman"/>
                <w:b/>
                <w:bCs/>
                <w:sz w:val="26"/>
                <w:szCs w:val="26"/>
              </w:rPr>
            </w:pPr>
            <w:r w:rsidRPr="004E30A9">
              <w:rPr>
                <w:rFonts w:ascii="Times New Roman" w:hAnsi="Times New Roman"/>
                <w:b/>
                <w:bCs/>
                <w:sz w:val="26"/>
                <w:szCs w:val="26"/>
              </w:rPr>
              <w:t>Tỷ lệ trung bình</w:t>
            </w:r>
          </w:p>
        </w:tc>
        <w:tc>
          <w:tcPr>
            <w:tcW w:w="1250" w:type="pct"/>
            <w:shd w:val="clear" w:color="auto" w:fill="auto"/>
            <w:tcMar>
              <w:top w:w="28" w:type="dxa"/>
              <w:left w:w="28" w:type="dxa"/>
              <w:bottom w:w="28" w:type="dxa"/>
              <w:right w:w="28" w:type="dxa"/>
            </w:tcMar>
            <w:vAlign w:val="center"/>
          </w:tcPr>
          <w:p w14:paraId="7F51C00F" w14:textId="77777777" w:rsidR="00FE5DE7" w:rsidRPr="004E30A9" w:rsidRDefault="00FE5DE7" w:rsidP="00ED72CB">
            <w:pPr>
              <w:spacing w:after="0" w:line="240" w:lineRule="auto"/>
              <w:jc w:val="center"/>
              <w:rPr>
                <w:rFonts w:ascii="Times New Roman" w:hAnsi="Times New Roman"/>
                <w:b/>
                <w:bCs/>
                <w:sz w:val="26"/>
                <w:szCs w:val="26"/>
              </w:rPr>
            </w:pPr>
            <w:r w:rsidRPr="004E30A9">
              <w:rPr>
                <w:rFonts w:ascii="Times New Roman" w:hAnsi="Times New Roman"/>
                <w:b/>
                <w:bCs/>
                <w:sz w:val="26"/>
                <w:szCs w:val="26"/>
              </w:rPr>
              <w:t>Tiền gửi phục vụ mục đích thanh toán và giao dịch</w:t>
            </w:r>
          </w:p>
          <w:p w14:paraId="7E41FB87" w14:textId="77777777" w:rsidR="00FE5DE7" w:rsidRPr="004E30A9" w:rsidRDefault="00FE5DE7" w:rsidP="00ED72CB">
            <w:pPr>
              <w:spacing w:after="0" w:line="240" w:lineRule="auto"/>
              <w:jc w:val="center"/>
              <w:rPr>
                <w:rFonts w:ascii="Times New Roman" w:hAnsi="Times New Roman"/>
                <w:b/>
                <w:bCs/>
                <w:sz w:val="26"/>
                <w:szCs w:val="26"/>
              </w:rPr>
            </w:pPr>
            <w:r w:rsidRPr="004E30A9">
              <w:rPr>
                <w:rFonts w:ascii="Times New Roman" w:hAnsi="Times New Roman"/>
                <w:b/>
                <w:bCs/>
                <w:sz w:val="26"/>
                <w:szCs w:val="26"/>
              </w:rPr>
              <w:lastRenderedPageBreak/>
              <w:t>(được bảo hiểm toàn bộ)</w:t>
            </w:r>
          </w:p>
        </w:tc>
        <w:tc>
          <w:tcPr>
            <w:tcW w:w="1250" w:type="pct"/>
            <w:shd w:val="clear" w:color="auto" w:fill="auto"/>
            <w:tcMar>
              <w:top w:w="28" w:type="dxa"/>
              <w:left w:w="28" w:type="dxa"/>
              <w:bottom w:w="28" w:type="dxa"/>
              <w:right w:w="28" w:type="dxa"/>
            </w:tcMar>
            <w:vAlign w:val="center"/>
          </w:tcPr>
          <w:p w14:paraId="445B6274" w14:textId="77777777" w:rsidR="00FE5DE7" w:rsidRPr="004E30A9" w:rsidRDefault="00FE5DE7" w:rsidP="00ED72CB">
            <w:pPr>
              <w:spacing w:after="0" w:line="240" w:lineRule="auto"/>
              <w:jc w:val="center"/>
              <w:rPr>
                <w:rFonts w:ascii="Times New Roman" w:hAnsi="Times New Roman"/>
                <w:b/>
                <w:bCs/>
                <w:sz w:val="26"/>
                <w:szCs w:val="26"/>
              </w:rPr>
            </w:pPr>
            <w:r w:rsidRPr="004E30A9">
              <w:rPr>
                <w:rFonts w:ascii="Times New Roman" w:hAnsi="Times New Roman"/>
                <w:b/>
                <w:bCs/>
                <w:sz w:val="26"/>
                <w:szCs w:val="26"/>
              </w:rPr>
              <w:lastRenderedPageBreak/>
              <w:t>Tiền gửi thông thường, v.v.</w:t>
            </w:r>
          </w:p>
          <w:p w14:paraId="00DCD216" w14:textId="77777777" w:rsidR="00FE5DE7" w:rsidRPr="004E30A9" w:rsidRDefault="00FE5DE7" w:rsidP="00ED72CB">
            <w:pPr>
              <w:spacing w:after="0" w:line="240" w:lineRule="auto"/>
              <w:jc w:val="center"/>
              <w:rPr>
                <w:rFonts w:ascii="Times New Roman" w:hAnsi="Times New Roman"/>
                <w:b/>
                <w:bCs/>
                <w:sz w:val="26"/>
                <w:szCs w:val="26"/>
              </w:rPr>
            </w:pPr>
            <w:r w:rsidRPr="004E30A9">
              <w:rPr>
                <w:rFonts w:ascii="Times New Roman" w:hAnsi="Times New Roman"/>
                <w:b/>
                <w:bCs/>
                <w:sz w:val="26"/>
                <w:szCs w:val="26"/>
              </w:rPr>
              <w:lastRenderedPageBreak/>
              <w:t>(bảo hiểm có hạn mức)</w:t>
            </w:r>
          </w:p>
        </w:tc>
      </w:tr>
      <w:tr w:rsidR="00FE5DE7" w:rsidRPr="00EB6ED7" w14:paraId="18B35CCA" w14:textId="77777777" w:rsidTr="00ED72CB">
        <w:trPr>
          <w:trHeight w:val="755"/>
        </w:trPr>
        <w:tc>
          <w:tcPr>
            <w:tcW w:w="1806" w:type="pct"/>
            <w:shd w:val="clear" w:color="auto" w:fill="auto"/>
            <w:tcMar>
              <w:top w:w="28" w:type="dxa"/>
              <w:left w:w="28" w:type="dxa"/>
              <w:bottom w:w="28" w:type="dxa"/>
              <w:right w:w="28" w:type="dxa"/>
            </w:tcMar>
            <w:vAlign w:val="center"/>
            <w:hideMark/>
          </w:tcPr>
          <w:p w14:paraId="342A5BA3" w14:textId="77777777" w:rsidR="00FE5DE7" w:rsidRPr="004E30A9" w:rsidRDefault="00FE5DE7" w:rsidP="00ED72CB">
            <w:pPr>
              <w:spacing w:after="0" w:line="240" w:lineRule="auto"/>
              <w:jc w:val="both"/>
              <w:rPr>
                <w:rFonts w:ascii="Times New Roman" w:hAnsi="Times New Roman"/>
                <w:sz w:val="26"/>
                <w:szCs w:val="26"/>
              </w:rPr>
            </w:pPr>
            <w:r w:rsidRPr="004E30A9">
              <w:rPr>
                <w:rFonts w:ascii="Times New Roman" w:hAnsi="Times New Roman"/>
                <w:sz w:val="26"/>
                <w:szCs w:val="26"/>
              </w:rPr>
              <w:lastRenderedPageBreak/>
              <w:t>Từ năm tài chính (NTC) 2003 đến NTC 2004</w:t>
            </w:r>
          </w:p>
        </w:tc>
        <w:tc>
          <w:tcPr>
            <w:tcW w:w="694" w:type="pct"/>
            <w:vMerge w:val="restart"/>
            <w:shd w:val="clear" w:color="auto" w:fill="auto"/>
            <w:tcMar>
              <w:top w:w="28" w:type="dxa"/>
              <w:left w:w="28" w:type="dxa"/>
              <w:bottom w:w="28" w:type="dxa"/>
              <w:right w:w="28" w:type="dxa"/>
            </w:tcMar>
            <w:vAlign w:val="center"/>
            <w:hideMark/>
          </w:tcPr>
          <w:p w14:paraId="580A4275" w14:textId="77777777" w:rsidR="00FE5DE7" w:rsidRPr="004E30A9" w:rsidRDefault="00FE5DE7" w:rsidP="00ED72CB">
            <w:pPr>
              <w:spacing w:after="0" w:line="240" w:lineRule="auto"/>
              <w:jc w:val="center"/>
              <w:rPr>
                <w:rFonts w:ascii="Times New Roman" w:hAnsi="Times New Roman"/>
                <w:sz w:val="26"/>
                <w:szCs w:val="26"/>
              </w:rPr>
            </w:pPr>
            <w:r w:rsidRPr="004E30A9">
              <w:rPr>
                <w:rFonts w:ascii="Times New Roman" w:hAnsi="Times New Roman"/>
                <w:sz w:val="26"/>
                <w:szCs w:val="26"/>
              </w:rPr>
              <w:t>0,084%</w:t>
            </w:r>
          </w:p>
        </w:tc>
        <w:tc>
          <w:tcPr>
            <w:tcW w:w="1250" w:type="pct"/>
            <w:shd w:val="clear" w:color="auto" w:fill="auto"/>
            <w:tcMar>
              <w:top w:w="28" w:type="dxa"/>
              <w:left w:w="28" w:type="dxa"/>
              <w:bottom w:w="28" w:type="dxa"/>
              <w:right w:w="28" w:type="dxa"/>
            </w:tcMar>
            <w:vAlign w:val="center"/>
            <w:hideMark/>
          </w:tcPr>
          <w:p w14:paraId="1CA47A94" w14:textId="77777777" w:rsidR="00FE5DE7" w:rsidRPr="004E30A9" w:rsidRDefault="00FE5DE7" w:rsidP="00ED72CB">
            <w:pPr>
              <w:spacing w:after="0" w:line="240" w:lineRule="auto"/>
              <w:jc w:val="center"/>
              <w:rPr>
                <w:rFonts w:ascii="Times New Roman" w:hAnsi="Times New Roman"/>
                <w:sz w:val="26"/>
                <w:szCs w:val="26"/>
              </w:rPr>
            </w:pPr>
            <w:r w:rsidRPr="004E30A9">
              <w:rPr>
                <w:rFonts w:ascii="Times New Roman" w:hAnsi="Times New Roman"/>
                <w:sz w:val="26"/>
                <w:szCs w:val="26"/>
              </w:rPr>
              <w:t>0,090%</w:t>
            </w:r>
          </w:p>
        </w:tc>
        <w:tc>
          <w:tcPr>
            <w:tcW w:w="1250" w:type="pct"/>
            <w:shd w:val="clear" w:color="auto" w:fill="auto"/>
            <w:tcMar>
              <w:top w:w="28" w:type="dxa"/>
              <w:left w:w="28" w:type="dxa"/>
              <w:bottom w:w="28" w:type="dxa"/>
              <w:right w:w="28" w:type="dxa"/>
            </w:tcMar>
            <w:vAlign w:val="center"/>
            <w:hideMark/>
          </w:tcPr>
          <w:p w14:paraId="6CFF497E" w14:textId="77777777" w:rsidR="00FE5DE7" w:rsidRPr="004E30A9" w:rsidRDefault="00FE5DE7" w:rsidP="00ED72CB">
            <w:pPr>
              <w:spacing w:after="0" w:line="240" w:lineRule="auto"/>
              <w:jc w:val="center"/>
              <w:rPr>
                <w:rFonts w:ascii="Times New Roman" w:hAnsi="Times New Roman"/>
                <w:sz w:val="26"/>
                <w:szCs w:val="26"/>
              </w:rPr>
            </w:pPr>
            <w:r w:rsidRPr="004E30A9">
              <w:rPr>
                <w:rFonts w:ascii="Times New Roman" w:hAnsi="Times New Roman"/>
                <w:sz w:val="26"/>
                <w:szCs w:val="26"/>
              </w:rPr>
              <w:t>0,080%</w:t>
            </w:r>
          </w:p>
        </w:tc>
      </w:tr>
      <w:tr w:rsidR="00FE5DE7" w:rsidRPr="00EB6ED7" w14:paraId="034B2E8C" w14:textId="77777777" w:rsidTr="00ED72CB">
        <w:trPr>
          <w:trHeight w:val="340"/>
        </w:trPr>
        <w:tc>
          <w:tcPr>
            <w:tcW w:w="1806" w:type="pct"/>
            <w:shd w:val="clear" w:color="auto" w:fill="auto"/>
            <w:tcMar>
              <w:top w:w="28" w:type="dxa"/>
              <w:left w:w="28" w:type="dxa"/>
              <w:bottom w:w="28" w:type="dxa"/>
              <w:right w:w="28" w:type="dxa"/>
            </w:tcMar>
            <w:vAlign w:val="center"/>
            <w:hideMark/>
          </w:tcPr>
          <w:p w14:paraId="33FB6828" w14:textId="77777777" w:rsidR="00FE5DE7" w:rsidRPr="004E30A9" w:rsidRDefault="00FE5DE7" w:rsidP="00ED72CB">
            <w:pPr>
              <w:spacing w:after="0" w:line="240" w:lineRule="auto"/>
              <w:jc w:val="both"/>
              <w:rPr>
                <w:rFonts w:ascii="Times New Roman" w:hAnsi="Times New Roman"/>
                <w:sz w:val="26"/>
                <w:szCs w:val="26"/>
              </w:rPr>
            </w:pPr>
            <w:r w:rsidRPr="004E30A9">
              <w:rPr>
                <w:rFonts w:ascii="Times New Roman" w:hAnsi="Times New Roman"/>
                <w:sz w:val="26"/>
                <w:szCs w:val="26"/>
              </w:rPr>
              <w:t>NTC 2005</w:t>
            </w:r>
          </w:p>
        </w:tc>
        <w:tc>
          <w:tcPr>
            <w:tcW w:w="694" w:type="pct"/>
            <w:vMerge/>
            <w:vAlign w:val="center"/>
            <w:hideMark/>
          </w:tcPr>
          <w:p w14:paraId="4ED797E7" w14:textId="77777777" w:rsidR="00FE5DE7" w:rsidRPr="004E30A9" w:rsidRDefault="00FE5DE7" w:rsidP="00ED72CB">
            <w:pPr>
              <w:spacing w:after="0" w:line="240" w:lineRule="auto"/>
              <w:jc w:val="center"/>
              <w:rPr>
                <w:rFonts w:ascii="Times New Roman" w:hAnsi="Times New Roman"/>
                <w:sz w:val="26"/>
                <w:szCs w:val="26"/>
              </w:rPr>
            </w:pPr>
          </w:p>
        </w:tc>
        <w:tc>
          <w:tcPr>
            <w:tcW w:w="1250" w:type="pct"/>
            <w:shd w:val="clear" w:color="auto" w:fill="auto"/>
            <w:tcMar>
              <w:top w:w="28" w:type="dxa"/>
              <w:left w:w="28" w:type="dxa"/>
              <w:bottom w:w="28" w:type="dxa"/>
              <w:right w:w="28" w:type="dxa"/>
            </w:tcMar>
            <w:vAlign w:val="center"/>
            <w:hideMark/>
          </w:tcPr>
          <w:p w14:paraId="3FEB5CCC" w14:textId="77777777" w:rsidR="00FE5DE7" w:rsidRPr="004E30A9" w:rsidRDefault="00FE5DE7" w:rsidP="00ED72CB">
            <w:pPr>
              <w:spacing w:after="0" w:line="240" w:lineRule="auto"/>
              <w:jc w:val="center"/>
              <w:rPr>
                <w:rFonts w:ascii="Times New Roman" w:hAnsi="Times New Roman"/>
                <w:sz w:val="26"/>
                <w:szCs w:val="26"/>
              </w:rPr>
            </w:pPr>
            <w:r w:rsidRPr="004E30A9">
              <w:rPr>
                <w:rFonts w:ascii="Times New Roman" w:hAnsi="Times New Roman"/>
                <w:sz w:val="26"/>
                <w:szCs w:val="26"/>
              </w:rPr>
              <w:t>0,115%</w:t>
            </w:r>
          </w:p>
        </w:tc>
        <w:tc>
          <w:tcPr>
            <w:tcW w:w="1250" w:type="pct"/>
            <w:shd w:val="clear" w:color="auto" w:fill="auto"/>
            <w:tcMar>
              <w:top w:w="28" w:type="dxa"/>
              <w:left w:w="28" w:type="dxa"/>
              <w:bottom w:w="28" w:type="dxa"/>
              <w:right w:w="28" w:type="dxa"/>
            </w:tcMar>
            <w:vAlign w:val="center"/>
            <w:hideMark/>
          </w:tcPr>
          <w:p w14:paraId="4353DCD2" w14:textId="77777777" w:rsidR="00FE5DE7" w:rsidRPr="004E30A9" w:rsidRDefault="00FE5DE7" w:rsidP="00ED72CB">
            <w:pPr>
              <w:spacing w:after="0" w:line="240" w:lineRule="auto"/>
              <w:jc w:val="center"/>
              <w:rPr>
                <w:rFonts w:ascii="Times New Roman" w:hAnsi="Times New Roman"/>
                <w:sz w:val="26"/>
                <w:szCs w:val="26"/>
              </w:rPr>
            </w:pPr>
            <w:r w:rsidRPr="004E30A9">
              <w:rPr>
                <w:rFonts w:ascii="Times New Roman" w:hAnsi="Times New Roman"/>
                <w:sz w:val="26"/>
                <w:szCs w:val="26"/>
              </w:rPr>
              <w:t>0,083%</w:t>
            </w:r>
          </w:p>
        </w:tc>
      </w:tr>
      <w:tr w:rsidR="00FE5DE7" w:rsidRPr="00EB6ED7" w14:paraId="326D5573" w14:textId="77777777" w:rsidTr="00ED72CB">
        <w:trPr>
          <w:trHeight w:val="340"/>
        </w:trPr>
        <w:tc>
          <w:tcPr>
            <w:tcW w:w="1806" w:type="pct"/>
            <w:shd w:val="clear" w:color="auto" w:fill="auto"/>
            <w:tcMar>
              <w:top w:w="28" w:type="dxa"/>
              <w:left w:w="28" w:type="dxa"/>
              <w:bottom w:w="28" w:type="dxa"/>
              <w:right w:w="28" w:type="dxa"/>
            </w:tcMar>
            <w:vAlign w:val="center"/>
            <w:hideMark/>
          </w:tcPr>
          <w:p w14:paraId="7645648F" w14:textId="77777777" w:rsidR="00FE5DE7" w:rsidRPr="004E30A9" w:rsidRDefault="00FE5DE7" w:rsidP="00ED72CB">
            <w:pPr>
              <w:spacing w:after="0" w:line="240" w:lineRule="auto"/>
              <w:jc w:val="both"/>
              <w:rPr>
                <w:rFonts w:ascii="Times New Roman" w:hAnsi="Times New Roman"/>
                <w:sz w:val="26"/>
                <w:szCs w:val="26"/>
              </w:rPr>
            </w:pPr>
            <w:r w:rsidRPr="004E30A9">
              <w:rPr>
                <w:rFonts w:ascii="Times New Roman" w:hAnsi="Times New Roman"/>
                <w:sz w:val="26"/>
                <w:szCs w:val="26"/>
              </w:rPr>
              <w:t>Từ NTC 2006 đến NTC 2007</w:t>
            </w:r>
          </w:p>
        </w:tc>
        <w:tc>
          <w:tcPr>
            <w:tcW w:w="694" w:type="pct"/>
            <w:vMerge/>
            <w:vAlign w:val="center"/>
            <w:hideMark/>
          </w:tcPr>
          <w:p w14:paraId="5F2FA887" w14:textId="77777777" w:rsidR="00FE5DE7" w:rsidRPr="004E30A9" w:rsidRDefault="00FE5DE7" w:rsidP="00ED72CB">
            <w:pPr>
              <w:spacing w:after="0" w:line="240" w:lineRule="auto"/>
              <w:jc w:val="center"/>
              <w:rPr>
                <w:rFonts w:ascii="Times New Roman" w:hAnsi="Times New Roman"/>
                <w:sz w:val="26"/>
                <w:szCs w:val="26"/>
              </w:rPr>
            </w:pPr>
          </w:p>
        </w:tc>
        <w:tc>
          <w:tcPr>
            <w:tcW w:w="1250" w:type="pct"/>
            <w:shd w:val="clear" w:color="auto" w:fill="auto"/>
            <w:tcMar>
              <w:top w:w="28" w:type="dxa"/>
              <w:left w:w="28" w:type="dxa"/>
              <w:bottom w:w="28" w:type="dxa"/>
              <w:right w:w="28" w:type="dxa"/>
            </w:tcMar>
            <w:vAlign w:val="center"/>
            <w:hideMark/>
          </w:tcPr>
          <w:p w14:paraId="42612713" w14:textId="77777777" w:rsidR="00FE5DE7" w:rsidRPr="004E30A9" w:rsidRDefault="00FE5DE7" w:rsidP="00ED72CB">
            <w:pPr>
              <w:spacing w:after="0" w:line="240" w:lineRule="auto"/>
              <w:jc w:val="center"/>
              <w:rPr>
                <w:rFonts w:ascii="Times New Roman" w:hAnsi="Times New Roman"/>
                <w:sz w:val="26"/>
                <w:szCs w:val="26"/>
              </w:rPr>
            </w:pPr>
            <w:r w:rsidRPr="004E30A9">
              <w:rPr>
                <w:rFonts w:ascii="Times New Roman" w:hAnsi="Times New Roman"/>
                <w:sz w:val="26"/>
                <w:szCs w:val="26"/>
              </w:rPr>
              <w:t>0,110%</w:t>
            </w:r>
          </w:p>
        </w:tc>
        <w:tc>
          <w:tcPr>
            <w:tcW w:w="1250" w:type="pct"/>
            <w:shd w:val="clear" w:color="auto" w:fill="auto"/>
            <w:tcMar>
              <w:top w:w="28" w:type="dxa"/>
              <w:left w:w="28" w:type="dxa"/>
              <w:bottom w:w="28" w:type="dxa"/>
              <w:right w:w="28" w:type="dxa"/>
            </w:tcMar>
            <w:vAlign w:val="center"/>
            <w:hideMark/>
          </w:tcPr>
          <w:p w14:paraId="2424CA30" w14:textId="77777777" w:rsidR="00FE5DE7" w:rsidRPr="004E30A9" w:rsidRDefault="00FE5DE7" w:rsidP="00ED72CB">
            <w:pPr>
              <w:spacing w:after="0" w:line="240" w:lineRule="auto"/>
              <w:jc w:val="center"/>
              <w:rPr>
                <w:rFonts w:ascii="Times New Roman" w:hAnsi="Times New Roman"/>
                <w:sz w:val="26"/>
                <w:szCs w:val="26"/>
              </w:rPr>
            </w:pPr>
            <w:r w:rsidRPr="004E30A9">
              <w:rPr>
                <w:rFonts w:ascii="Times New Roman" w:hAnsi="Times New Roman"/>
                <w:sz w:val="26"/>
                <w:szCs w:val="26"/>
              </w:rPr>
              <w:t>0,080%</w:t>
            </w:r>
          </w:p>
        </w:tc>
      </w:tr>
      <w:tr w:rsidR="00FE5DE7" w:rsidRPr="00EB6ED7" w14:paraId="4725277D" w14:textId="77777777" w:rsidTr="00ED72CB">
        <w:trPr>
          <w:trHeight w:val="340"/>
        </w:trPr>
        <w:tc>
          <w:tcPr>
            <w:tcW w:w="1806" w:type="pct"/>
            <w:shd w:val="clear" w:color="auto" w:fill="auto"/>
            <w:tcMar>
              <w:top w:w="28" w:type="dxa"/>
              <w:left w:w="28" w:type="dxa"/>
              <w:bottom w:w="28" w:type="dxa"/>
              <w:right w:w="28" w:type="dxa"/>
            </w:tcMar>
            <w:vAlign w:val="center"/>
            <w:hideMark/>
          </w:tcPr>
          <w:p w14:paraId="2773F798" w14:textId="77777777" w:rsidR="00FE5DE7" w:rsidRPr="004E30A9" w:rsidRDefault="00FE5DE7" w:rsidP="00ED72CB">
            <w:pPr>
              <w:spacing w:after="0" w:line="240" w:lineRule="auto"/>
              <w:jc w:val="both"/>
              <w:rPr>
                <w:rFonts w:ascii="Times New Roman" w:hAnsi="Times New Roman"/>
                <w:sz w:val="26"/>
                <w:szCs w:val="26"/>
              </w:rPr>
            </w:pPr>
            <w:r w:rsidRPr="004E30A9">
              <w:rPr>
                <w:rFonts w:ascii="Times New Roman" w:hAnsi="Times New Roman"/>
                <w:sz w:val="26"/>
                <w:szCs w:val="26"/>
              </w:rPr>
              <w:t>NTC 2008</w:t>
            </w:r>
          </w:p>
        </w:tc>
        <w:tc>
          <w:tcPr>
            <w:tcW w:w="694" w:type="pct"/>
            <w:vMerge/>
            <w:vAlign w:val="center"/>
            <w:hideMark/>
          </w:tcPr>
          <w:p w14:paraId="26EE3B64" w14:textId="77777777" w:rsidR="00FE5DE7" w:rsidRPr="004E30A9" w:rsidRDefault="00FE5DE7" w:rsidP="00ED72CB">
            <w:pPr>
              <w:spacing w:after="0" w:line="240" w:lineRule="auto"/>
              <w:jc w:val="center"/>
              <w:rPr>
                <w:rFonts w:ascii="Times New Roman" w:hAnsi="Times New Roman"/>
                <w:sz w:val="26"/>
                <w:szCs w:val="26"/>
              </w:rPr>
            </w:pPr>
          </w:p>
        </w:tc>
        <w:tc>
          <w:tcPr>
            <w:tcW w:w="1250" w:type="pct"/>
            <w:shd w:val="clear" w:color="auto" w:fill="auto"/>
            <w:tcMar>
              <w:top w:w="28" w:type="dxa"/>
              <w:left w:w="28" w:type="dxa"/>
              <w:bottom w:w="28" w:type="dxa"/>
              <w:right w:w="28" w:type="dxa"/>
            </w:tcMar>
            <w:vAlign w:val="center"/>
            <w:hideMark/>
          </w:tcPr>
          <w:p w14:paraId="1C693582" w14:textId="77777777" w:rsidR="00FE5DE7" w:rsidRPr="004E30A9" w:rsidRDefault="00FE5DE7" w:rsidP="00ED72CB">
            <w:pPr>
              <w:spacing w:after="0" w:line="240" w:lineRule="auto"/>
              <w:jc w:val="center"/>
              <w:rPr>
                <w:rFonts w:ascii="Times New Roman" w:hAnsi="Times New Roman"/>
                <w:sz w:val="26"/>
                <w:szCs w:val="26"/>
              </w:rPr>
            </w:pPr>
            <w:r w:rsidRPr="004E30A9">
              <w:rPr>
                <w:rFonts w:ascii="Times New Roman" w:hAnsi="Times New Roman"/>
                <w:sz w:val="26"/>
                <w:szCs w:val="26"/>
              </w:rPr>
              <w:t>0,108%</w:t>
            </w:r>
          </w:p>
        </w:tc>
        <w:tc>
          <w:tcPr>
            <w:tcW w:w="1250" w:type="pct"/>
            <w:shd w:val="clear" w:color="auto" w:fill="auto"/>
            <w:tcMar>
              <w:top w:w="28" w:type="dxa"/>
              <w:left w:w="28" w:type="dxa"/>
              <w:bottom w:w="28" w:type="dxa"/>
              <w:right w:w="28" w:type="dxa"/>
            </w:tcMar>
            <w:vAlign w:val="center"/>
            <w:hideMark/>
          </w:tcPr>
          <w:p w14:paraId="0B368F53" w14:textId="77777777" w:rsidR="00FE5DE7" w:rsidRPr="004E30A9" w:rsidRDefault="00FE5DE7" w:rsidP="00ED72CB">
            <w:pPr>
              <w:spacing w:after="0" w:line="240" w:lineRule="auto"/>
              <w:jc w:val="center"/>
              <w:rPr>
                <w:rFonts w:ascii="Times New Roman" w:hAnsi="Times New Roman"/>
                <w:sz w:val="26"/>
                <w:szCs w:val="26"/>
              </w:rPr>
            </w:pPr>
            <w:r w:rsidRPr="004E30A9">
              <w:rPr>
                <w:rFonts w:ascii="Times New Roman" w:hAnsi="Times New Roman"/>
                <w:sz w:val="26"/>
                <w:szCs w:val="26"/>
              </w:rPr>
              <w:t>0,081%</w:t>
            </w:r>
          </w:p>
        </w:tc>
      </w:tr>
      <w:tr w:rsidR="00FE5DE7" w:rsidRPr="00EB6ED7" w14:paraId="382BC5C9" w14:textId="77777777" w:rsidTr="00ED72CB">
        <w:trPr>
          <w:trHeight w:val="340"/>
        </w:trPr>
        <w:tc>
          <w:tcPr>
            <w:tcW w:w="1806" w:type="pct"/>
            <w:shd w:val="clear" w:color="auto" w:fill="auto"/>
            <w:tcMar>
              <w:top w:w="28" w:type="dxa"/>
              <w:left w:w="28" w:type="dxa"/>
              <w:bottom w:w="28" w:type="dxa"/>
              <w:right w:w="28" w:type="dxa"/>
            </w:tcMar>
            <w:vAlign w:val="center"/>
            <w:hideMark/>
          </w:tcPr>
          <w:p w14:paraId="7768B30F" w14:textId="77777777" w:rsidR="00FE5DE7" w:rsidRPr="004E30A9" w:rsidRDefault="00FE5DE7" w:rsidP="00ED72CB">
            <w:pPr>
              <w:spacing w:after="0" w:line="240" w:lineRule="auto"/>
              <w:jc w:val="both"/>
              <w:rPr>
                <w:rFonts w:ascii="Times New Roman" w:hAnsi="Times New Roman"/>
                <w:sz w:val="26"/>
                <w:szCs w:val="26"/>
              </w:rPr>
            </w:pPr>
            <w:r w:rsidRPr="004E30A9">
              <w:rPr>
                <w:rFonts w:ascii="Times New Roman" w:hAnsi="Times New Roman"/>
                <w:sz w:val="26"/>
                <w:szCs w:val="26"/>
              </w:rPr>
              <w:t>NTC 2009</w:t>
            </w:r>
          </w:p>
        </w:tc>
        <w:tc>
          <w:tcPr>
            <w:tcW w:w="694" w:type="pct"/>
            <w:vMerge/>
            <w:vAlign w:val="center"/>
            <w:hideMark/>
          </w:tcPr>
          <w:p w14:paraId="06AA3FB0" w14:textId="77777777" w:rsidR="00FE5DE7" w:rsidRPr="004E30A9" w:rsidRDefault="00FE5DE7" w:rsidP="00ED72CB">
            <w:pPr>
              <w:spacing w:after="0" w:line="240" w:lineRule="auto"/>
              <w:jc w:val="center"/>
              <w:rPr>
                <w:rFonts w:ascii="Times New Roman" w:hAnsi="Times New Roman"/>
                <w:sz w:val="26"/>
                <w:szCs w:val="26"/>
              </w:rPr>
            </w:pPr>
          </w:p>
        </w:tc>
        <w:tc>
          <w:tcPr>
            <w:tcW w:w="1250" w:type="pct"/>
            <w:shd w:val="clear" w:color="auto" w:fill="auto"/>
            <w:tcMar>
              <w:top w:w="28" w:type="dxa"/>
              <w:left w:w="28" w:type="dxa"/>
              <w:bottom w:w="28" w:type="dxa"/>
              <w:right w:w="28" w:type="dxa"/>
            </w:tcMar>
            <w:vAlign w:val="center"/>
            <w:hideMark/>
          </w:tcPr>
          <w:p w14:paraId="4C59F284" w14:textId="77777777" w:rsidR="00FE5DE7" w:rsidRPr="004E30A9" w:rsidRDefault="00FE5DE7" w:rsidP="00ED72CB">
            <w:pPr>
              <w:spacing w:after="0" w:line="240" w:lineRule="auto"/>
              <w:jc w:val="center"/>
              <w:rPr>
                <w:rFonts w:ascii="Times New Roman" w:hAnsi="Times New Roman"/>
                <w:sz w:val="26"/>
                <w:szCs w:val="26"/>
              </w:rPr>
            </w:pPr>
            <w:r w:rsidRPr="004E30A9">
              <w:rPr>
                <w:rFonts w:ascii="Times New Roman" w:hAnsi="Times New Roman"/>
                <w:sz w:val="26"/>
                <w:szCs w:val="26"/>
              </w:rPr>
              <w:t>0,107%</w:t>
            </w:r>
          </w:p>
        </w:tc>
        <w:tc>
          <w:tcPr>
            <w:tcW w:w="1250" w:type="pct"/>
            <w:shd w:val="clear" w:color="auto" w:fill="auto"/>
            <w:tcMar>
              <w:top w:w="28" w:type="dxa"/>
              <w:left w:w="28" w:type="dxa"/>
              <w:bottom w:w="28" w:type="dxa"/>
              <w:right w:w="28" w:type="dxa"/>
            </w:tcMar>
            <w:vAlign w:val="center"/>
            <w:hideMark/>
          </w:tcPr>
          <w:p w14:paraId="31B998E8" w14:textId="77777777" w:rsidR="00FE5DE7" w:rsidRPr="004E30A9" w:rsidRDefault="00FE5DE7" w:rsidP="00ED72CB">
            <w:pPr>
              <w:spacing w:after="0" w:line="240" w:lineRule="auto"/>
              <w:jc w:val="center"/>
              <w:rPr>
                <w:rFonts w:ascii="Times New Roman" w:hAnsi="Times New Roman"/>
                <w:sz w:val="26"/>
                <w:szCs w:val="26"/>
              </w:rPr>
            </w:pPr>
            <w:r w:rsidRPr="004E30A9">
              <w:rPr>
                <w:rFonts w:ascii="Times New Roman" w:hAnsi="Times New Roman"/>
                <w:sz w:val="26"/>
                <w:szCs w:val="26"/>
              </w:rPr>
              <w:t>0,081%</w:t>
            </w:r>
          </w:p>
        </w:tc>
      </w:tr>
      <w:tr w:rsidR="00FE5DE7" w:rsidRPr="00EB6ED7" w14:paraId="539F7265" w14:textId="77777777" w:rsidTr="00ED72CB">
        <w:trPr>
          <w:trHeight w:val="722"/>
        </w:trPr>
        <w:tc>
          <w:tcPr>
            <w:tcW w:w="1806" w:type="pct"/>
            <w:shd w:val="clear" w:color="auto" w:fill="auto"/>
            <w:tcMar>
              <w:top w:w="28" w:type="dxa"/>
              <w:left w:w="28" w:type="dxa"/>
              <w:bottom w:w="28" w:type="dxa"/>
              <w:right w:w="28" w:type="dxa"/>
            </w:tcMar>
            <w:vAlign w:val="center"/>
            <w:hideMark/>
          </w:tcPr>
          <w:p w14:paraId="024F9121" w14:textId="77777777" w:rsidR="00FE5DE7" w:rsidRPr="004E30A9" w:rsidRDefault="00FE5DE7" w:rsidP="00ED72CB">
            <w:pPr>
              <w:spacing w:after="0" w:line="240" w:lineRule="auto"/>
              <w:jc w:val="both"/>
              <w:rPr>
                <w:rFonts w:ascii="Times New Roman" w:hAnsi="Times New Roman"/>
                <w:sz w:val="26"/>
                <w:szCs w:val="26"/>
              </w:rPr>
            </w:pPr>
            <w:r w:rsidRPr="004E30A9">
              <w:rPr>
                <w:rFonts w:ascii="Times New Roman" w:hAnsi="Times New Roman"/>
                <w:sz w:val="26"/>
                <w:szCs w:val="26"/>
              </w:rPr>
              <w:t>Từ NTC 2010 đến NTC 2011</w:t>
            </w:r>
          </w:p>
        </w:tc>
        <w:tc>
          <w:tcPr>
            <w:tcW w:w="694" w:type="pct"/>
            <w:vMerge/>
            <w:vAlign w:val="center"/>
            <w:hideMark/>
          </w:tcPr>
          <w:p w14:paraId="417F620D" w14:textId="77777777" w:rsidR="00FE5DE7" w:rsidRPr="004E30A9" w:rsidRDefault="00FE5DE7" w:rsidP="00ED72CB">
            <w:pPr>
              <w:spacing w:after="0" w:line="240" w:lineRule="auto"/>
              <w:jc w:val="center"/>
              <w:rPr>
                <w:rFonts w:ascii="Times New Roman" w:hAnsi="Times New Roman"/>
                <w:sz w:val="26"/>
                <w:szCs w:val="26"/>
              </w:rPr>
            </w:pPr>
          </w:p>
        </w:tc>
        <w:tc>
          <w:tcPr>
            <w:tcW w:w="1250" w:type="pct"/>
            <w:shd w:val="clear" w:color="auto" w:fill="auto"/>
            <w:tcMar>
              <w:top w:w="28" w:type="dxa"/>
              <w:left w:w="28" w:type="dxa"/>
              <w:bottom w:w="28" w:type="dxa"/>
              <w:right w:w="28" w:type="dxa"/>
            </w:tcMar>
            <w:vAlign w:val="center"/>
            <w:hideMark/>
          </w:tcPr>
          <w:p w14:paraId="4EE15601" w14:textId="77777777" w:rsidR="00FE5DE7" w:rsidRPr="004E30A9" w:rsidRDefault="00FE5DE7" w:rsidP="00ED72CB">
            <w:pPr>
              <w:spacing w:after="0" w:line="240" w:lineRule="auto"/>
              <w:jc w:val="center"/>
              <w:rPr>
                <w:rFonts w:ascii="Times New Roman" w:hAnsi="Times New Roman"/>
                <w:sz w:val="26"/>
                <w:szCs w:val="26"/>
              </w:rPr>
            </w:pPr>
            <w:r w:rsidRPr="004E30A9">
              <w:rPr>
                <w:rFonts w:ascii="Times New Roman" w:hAnsi="Times New Roman"/>
                <w:sz w:val="26"/>
                <w:szCs w:val="26"/>
              </w:rPr>
              <w:t>0,107%</w:t>
            </w:r>
          </w:p>
        </w:tc>
        <w:tc>
          <w:tcPr>
            <w:tcW w:w="1250" w:type="pct"/>
            <w:shd w:val="clear" w:color="auto" w:fill="auto"/>
            <w:tcMar>
              <w:top w:w="28" w:type="dxa"/>
              <w:left w:w="28" w:type="dxa"/>
              <w:bottom w:w="28" w:type="dxa"/>
              <w:right w:w="28" w:type="dxa"/>
            </w:tcMar>
            <w:vAlign w:val="center"/>
            <w:hideMark/>
          </w:tcPr>
          <w:p w14:paraId="35AD4792" w14:textId="77777777" w:rsidR="00FE5DE7" w:rsidRPr="004E30A9" w:rsidRDefault="00FE5DE7" w:rsidP="00ED72CB">
            <w:pPr>
              <w:spacing w:after="0" w:line="240" w:lineRule="auto"/>
              <w:jc w:val="center"/>
              <w:rPr>
                <w:rFonts w:ascii="Times New Roman" w:hAnsi="Times New Roman"/>
                <w:sz w:val="26"/>
                <w:szCs w:val="26"/>
              </w:rPr>
            </w:pPr>
            <w:r w:rsidRPr="004E30A9">
              <w:rPr>
                <w:rFonts w:ascii="Times New Roman" w:hAnsi="Times New Roman"/>
                <w:sz w:val="26"/>
                <w:szCs w:val="26"/>
              </w:rPr>
              <w:t>0,082%</w:t>
            </w:r>
          </w:p>
        </w:tc>
      </w:tr>
      <w:tr w:rsidR="00FE5DE7" w:rsidRPr="00EB6ED7" w14:paraId="066E2EA2" w14:textId="77777777" w:rsidTr="00ED72CB">
        <w:trPr>
          <w:trHeight w:val="340"/>
        </w:trPr>
        <w:tc>
          <w:tcPr>
            <w:tcW w:w="1806" w:type="pct"/>
            <w:shd w:val="clear" w:color="auto" w:fill="auto"/>
            <w:tcMar>
              <w:top w:w="28" w:type="dxa"/>
              <w:left w:w="28" w:type="dxa"/>
              <w:bottom w:w="28" w:type="dxa"/>
              <w:right w:w="28" w:type="dxa"/>
            </w:tcMar>
            <w:vAlign w:val="center"/>
            <w:hideMark/>
          </w:tcPr>
          <w:p w14:paraId="26F47C09" w14:textId="77777777" w:rsidR="00FE5DE7" w:rsidRPr="004E30A9" w:rsidRDefault="00FE5DE7" w:rsidP="00ED72CB">
            <w:pPr>
              <w:spacing w:after="0" w:line="240" w:lineRule="auto"/>
              <w:jc w:val="both"/>
              <w:rPr>
                <w:rFonts w:ascii="Times New Roman" w:hAnsi="Times New Roman"/>
                <w:sz w:val="26"/>
                <w:szCs w:val="26"/>
              </w:rPr>
            </w:pPr>
            <w:r w:rsidRPr="004E30A9">
              <w:rPr>
                <w:rFonts w:ascii="Times New Roman" w:hAnsi="Times New Roman"/>
                <w:sz w:val="26"/>
                <w:szCs w:val="26"/>
              </w:rPr>
              <w:t>Từ NTC 2012 đến NTC 2013</w:t>
            </w:r>
          </w:p>
        </w:tc>
        <w:tc>
          <w:tcPr>
            <w:tcW w:w="694" w:type="pct"/>
            <w:vMerge w:val="restart"/>
            <w:shd w:val="clear" w:color="auto" w:fill="auto"/>
            <w:tcMar>
              <w:top w:w="28" w:type="dxa"/>
              <w:left w:w="28" w:type="dxa"/>
              <w:bottom w:w="28" w:type="dxa"/>
              <w:right w:w="28" w:type="dxa"/>
            </w:tcMar>
            <w:vAlign w:val="center"/>
            <w:hideMark/>
          </w:tcPr>
          <w:p w14:paraId="0C473BF7" w14:textId="77777777" w:rsidR="00FE5DE7" w:rsidRPr="004E30A9" w:rsidRDefault="00FE5DE7" w:rsidP="00ED72CB">
            <w:pPr>
              <w:spacing w:after="0" w:line="240" w:lineRule="auto"/>
              <w:jc w:val="center"/>
              <w:rPr>
                <w:rFonts w:ascii="Times New Roman" w:hAnsi="Times New Roman"/>
                <w:sz w:val="26"/>
                <w:szCs w:val="26"/>
              </w:rPr>
            </w:pPr>
            <w:r w:rsidRPr="004E30A9">
              <w:rPr>
                <w:rFonts w:ascii="Times New Roman" w:hAnsi="Times New Roman"/>
                <w:sz w:val="26"/>
                <w:szCs w:val="26"/>
              </w:rPr>
              <w:t>0,084% (0,07%)</w:t>
            </w:r>
          </w:p>
        </w:tc>
        <w:tc>
          <w:tcPr>
            <w:tcW w:w="1250" w:type="pct"/>
            <w:shd w:val="clear" w:color="auto" w:fill="auto"/>
            <w:tcMar>
              <w:top w:w="28" w:type="dxa"/>
              <w:left w:w="28" w:type="dxa"/>
              <w:bottom w:w="28" w:type="dxa"/>
              <w:right w:w="28" w:type="dxa"/>
            </w:tcMar>
            <w:vAlign w:val="center"/>
            <w:hideMark/>
          </w:tcPr>
          <w:p w14:paraId="23D42C47" w14:textId="77777777" w:rsidR="00FE5DE7" w:rsidRPr="004E30A9" w:rsidRDefault="00FE5DE7" w:rsidP="00ED72CB">
            <w:pPr>
              <w:spacing w:after="0" w:line="240" w:lineRule="auto"/>
              <w:jc w:val="center"/>
              <w:rPr>
                <w:rFonts w:ascii="Times New Roman" w:hAnsi="Times New Roman"/>
                <w:sz w:val="26"/>
                <w:szCs w:val="26"/>
              </w:rPr>
            </w:pPr>
            <w:r w:rsidRPr="004E30A9">
              <w:rPr>
                <w:rFonts w:ascii="Times New Roman" w:hAnsi="Times New Roman"/>
                <w:sz w:val="26"/>
                <w:szCs w:val="26"/>
              </w:rPr>
              <w:t>0,107% (0,089%)</w:t>
            </w:r>
          </w:p>
        </w:tc>
        <w:tc>
          <w:tcPr>
            <w:tcW w:w="1250" w:type="pct"/>
            <w:shd w:val="clear" w:color="auto" w:fill="auto"/>
            <w:tcMar>
              <w:top w:w="28" w:type="dxa"/>
              <w:left w:w="28" w:type="dxa"/>
              <w:bottom w:w="28" w:type="dxa"/>
              <w:right w:w="28" w:type="dxa"/>
            </w:tcMar>
            <w:vAlign w:val="center"/>
            <w:hideMark/>
          </w:tcPr>
          <w:p w14:paraId="1DB36674" w14:textId="77777777" w:rsidR="00FE5DE7" w:rsidRPr="004E30A9" w:rsidRDefault="00FE5DE7" w:rsidP="00ED72CB">
            <w:pPr>
              <w:spacing w:after="0" w:line="240" w:lineRule="auto"/>
              <w:jc w:val="center"/>
              <w:rPr>
                <w:rFonts w:ascii="Times New Roman" w:hAnsi="Times New Roman"/>
                <w:sz w:val="26"/>
                <w:szCs w:val="26"/>
              </w:rPr>
            </w:pPr>
            <w:r w:rsidRPr="004E30A9">
              <w:rPr>
                <w:rFonts w:ascii="Times New Roman" w:hAnsi="Times New Roman"/>
                <w:sz w:val="26"/>
                <w:szCs w:val="26"/>
              </w:rPr>
              <w:t>0,082% (0,068%)</w:t>
            </w:r>
          </w:p>
        </w:tc>
      </w:tr>
      <w:tr w:rsidR="00FE5DE7" w:rsidRPr="00EB6ED7" w14:paraId="19976187" w14:textId="77777777" w:rsidTr="00ED72CB">
        <w:trPr>
          <w:trHeight w:val="340"/>
        </w:trPr>
        <w:tc>
          <w:tcPr>
            <w:tcW w:w="1806" w:type="pct"/>
            <w:shd w:val="clear" w:color="auto" w:fill="auto"/>
            <w:tcMar>
              <w:top w:w="28" w:type="dxa"/>
              <w:left w:w="28" w:type="dxa"/>
              <w:bottom w:w="28" w:type="dxa"/>
              <w:right w:w="28" w:type="dxa"/>
            </w:tcMar>
            <w:vAlign w:val="center"/>
            <w:hideMark/>
          </w:tcPr>
          <w:p w14:paraId="4BFFC30F" w14:textId="77777777" w:rsidR="00FE5DE7" w:rsidRPr="004E30A9" w:rsidRDefault="00FE5DE7" w:rsidP="00ED72CB">
            <w:pPr>
              <w:spacing w:after="0" w:line="240" w:lineRule="auto"/>
              <w:jc w:val="both"/>
              <w:rPr>
                <w:rFonts w:ascii="Times New Roman" w:hAnsi="Times New Roman"/>
                <w:sz w:val="26"/>
                <w:szCs w:val="26"/>
              </w:rPr>
            </w:pPr>
            <w:r w:rsidRPr="004E30A9">
              <w:rPr>
                <w:rFonts w:ascii="Times New Roman" w:hAnsi="Times New Roman"/>
                <w:sz w:val="26"/>
                <w:szCs w:val="26"/>
              </w:rPr>
              <w:t>NTC 2014</w:t>
            </w:r>
          </w:p>
        </w:tc>
        <w:tc>
          <w:tcPr>
            <w:tcW w:w="694" w:type="pct"/>
            <w:vMerge/>
            <w:vAlign w:val="center"/>
            <w:hideMark/>
          </w:tcPr>
          <w:p w14:paraId="2DEAF7DC" w14:textId="77777777" w:rsidR="00FE5DE7" w:rsidRPr="004E30A9" w:rsidRDefault="00FE5DE7" w:rsidP="00ED72CB">
            <w:pPr>
              <w:spacing w:after="0" w:line="240" w:lineRule="auto"/>
              <w:jc w:val="center"/>
              <w:rPr>
                <w:rFonts w:ascii="Times New Roman" w:hAnsi="Times New Roman"/>
                <w:sz w:val="26"/>
                <w:szCs w:val="26"/>
              </w:rPr>
            </w:pPr>
          </w:p>
        </w:tc>
        <w:tc>
          <w:tcPr>
            <w:tcW w:w="1250" w:type="pct"/>
            <w:shd w:val="clear" w:color="auto" w:fill="auto"/>
            <w:tcMar>
              <w:top w:w="28" w:type="dxa"/>
              <w:left w:w="28" w:type="dxa"/>
              <w:bottom w:w="28" w:type="dxa"/>
              <w:right w:w="28" w:type="dxa"/>
            </w:tcMar>
            <w:vAlign w:val="center"/>
            <w:hideMark/>
          </w:tcPr>
          <w:p w14:paraId="2A336B7F" w14:textId="77777777" w:rsidR="00FE5DE7" w:rsidRPr="004E30A9" w:rsidRDefault="00FE5DE7" w:rsidP="00ED72CB">
            <w:pPr>
              <w:spacing w:after="0" w:line="240" w:lineRule="auto"/>
              <w:jc w:val="center"/>
              <w:rPr>
                <w:rFonts w:ascii="Times New Roman" w:hAnsi="Times New Roman"/>
                <w:sz w:val="26"/>
                <w:szCs w:val="26"/>
              </w:rPr>
            </w:pPr>
            <w:r w:rsidRPr="004E30A9">
              <w:rPr>
                <w:rFonts w:ascii="Times New Roman" w:hAnsi="Times New Roman"/>
                <w:sz w:val="26"/>
                <w:szCs w:val="26"/>
              </w:rPr>
              <w:t>0,108% (0,090%)</w:t>
            </w:r>
          </w:p>
        </w:tc>
        <w:tc>
          <w:tcPr>
            <w:tcW w:w="1250" w:type="pct"/>
            <w:shd w:val="clear" w:color="auto" w:fill="auto"/>
            <w:tcMar>
              <w:top w:w="28" w:type="dxa"/>
              <w:left w:w="28" w:type="dxa"/>
              <w:bottom w:w="28" w:type="dxa"/>
              <w:right w:w="28" w:type="dxa"/>
            </w:tcMar>
            <w:vAlign w:val="center"/>
            <w:hideMark/>
          </w:tcPr>
          <w:p w14:paraId="11AF9FEF" w14:textId="77777777" w:rsidR="00FE5DE7" w:rsidRPr="004E30A9" w:rsidRDefault="00FE5DE7" w:rsidP="00ED72CB">
            <w:pPr>
              <w:spacing w:after="0" w:line="240" w:lineRule="auto"/>
              <w:jc w:val="center"/>
              <w:rPr>
                <w:rFonts w:ascii="Times New Roman" w:hAnsi="Times New Roman"/>
                <w:sz w:val="26"/>
                <w:szCs w:val="26"/>
              </w:rPr>
            </w:pPr>
            <w:r w:rsidRPr="004E30A9">
              <w:rPr>
                <w:rFonts w:ascii="Times New Roman" w:hAnsi="Times New Roman"/>
                <w:sz w:val="26"/>
                <w:szCs w:val="26"/>
              </w:rPr>
              <w:t>0,081% (0,068%)</w:t>
            </w:r>
          </w:p>
        </w:tc>
      </w:tr>
      <w:tr w:rsidR="00FE5DE7" w:rsidRPr="00EB6ED7" w14:paraId="25EAFC8C" w14:textId="77777777" w:rsidTr="00ED72CB">
        <w:trPr>
          <w:trHeight w:val="340"/>
        </w:trPr>
        <w:tc>
          <w:tcPr>
            <w:tcW w:w="1806" w:type="pct"/>
            <w:shd w:val="clear" w:color="auto" w:fill="auto"/>
            <w:tcMar>
              <w:top w:w="28" w:type="dxa"/>
              <w:left w:w="28" w:type="dxa"/>
              <w:bottom w:w="28" w:type="dxa"/>
              <w:right w:w="28" w:type="dxa"/>
            </w:tcMar>
            <w:vAlign w:val="center"/>
            <w:hideMark/>
          </w:tcPr>
          <w:p w14:paraId="5F853961" w14:textId="77777777" w:rsidR="00FE5DE7" w:rsidRPr="004E30A9" w:rsidRDefault="00FE5DE7" w:rsidP="00ED72CB">
            <w:pPr>
              <w:spacing w:after="0" w:line="240" w:lineRule="auto"/>
              <w:jc w:val="both"/>
              <w:rPr>
                <w:rFonts w:ascii="Times New Roman" w:hAnsi="Times New Roman"/>
                <w:sz w:val="26"/>
                <w:szCs w:val="26"/>
              </w:rPr>
            </w:pPr>
            <w:r w:rsidRPr="004E30A9">
              <w:rPr>
                <w:rFonts w:ascii="Times New Roman" w:hAnsi="Times New Roman"/>
                <w:sz w:val="26"/>
                <w:szCs w:val="26"/>
              </w:rPr>
              <w:t>Từ NTC 2015 đến NTC 2016</w:t>
            </w:r>
          </w:p>
        </w:tc>
        <w:tc>
          <w:tcPr>
            <w:tcW w:w="694" w:type="pct"/>
            <w:shd w:val="clear" w:color="auto" w:fill="auto"/>
            <w:tcMar>
              <w:top w:w="28" w:type="dxa"/>
              <w:left w:w="28" w:type="dxa"/>
              <w:bottom w:w="28" w:type="dxa"/>
              <w:right w:w="28" w:type="dxa"/>
            </w:tcMar>
            <w:vAlign w:val="center"/>
            <w:hideMark/>
          </w:tcPr>
          <w:p w14:paraId="14F72711" w14:textId="77777777" w:rsidR="00FE5DE7" w:rsidRPr="004E30A9" w:rsidRDefault="00FE5DE7" w:rsidP="00ED72CB">
            <w:pPr>
              <w:spacing w:after="0" w:line="240" w:lineRule="auto"/>
              <w:jc w:val="center"/>
              <w:rPr>
                <w:rFonts w:ascii="Times New Roman" w:hAnsi="Times New Roman"/>
                <w:sz w:val="26"/>
                <w:szCs w:val="26"/>
              </w:rPr>
            </w:pPr>
            <w:r w:rsidRPr="004E30A9">
              <w:rPr>
                <w:rFonts w:ascii="Times New Roman" w:hAnsi="Times New Roman"/>
                <w:sz w:val="26"/>
                <w:szCs w:val="26"/>
              </w:rPr>
              <w:t>0,042%</w:t>
            </w:r>
          </w:p>
        </w:tc>
        <w:tc>
          <w:tcPr>
            <w:tcW w:w="1250" w:type="pct"/>
            <w:shd w:val="clear" w:color="auto" w:fill="auto"/>
            <w:tcMar>
              <w:top w:w="28" w:type="dxa"/>
              <w:left w:w="28" w:type="dxa"/>
              <w:bottom w:w="28" w:type="dxa"/>
              <w:right w:w="28" w:type="dxa"/>
            </w:tcMar>
            <w:vAlign w:val="center"/>
            <w:hideMark/>
          </w:tcPr>
          <w:p w14:paraId="68A26F12" w14:textId="77777777" w:rsidR="00FE5DE7" w:rsidRPr="004E30A9" w:rsidRDefault="00FE5DE7" w:rsidP="00ED72CB">
            <w:pPr>
              <w:spacing w:after="0" w:line="240" w:lineRule="auto"/>
              <w:jc w:val="center"/>
              <w:rPr>
                <w:rFonts w:ascii="Times New Roman" w:hAnsi="Times New Roman"/>
                <w:sz w:val="26"/>
                <w:szCs w:val="26"/>
              </w:rPr>
            </w:pPr>
            <w:r w:rsidRPr="004E30A9">
              <w:rPr>
                <w:rFonts w:ascii="Times New Roman" w:hAnsi="Times New Roman"/>
                <w:sz w:val="26"/>
                <w:szCs w:val="26"/>
              </w:rPr>
              <w:t>0,054%</w:t>
            </w:r>
          </w:p>
        </w:tc>
        <w:tc>
          <w:tcPr>
            <w:tcW w:w="1250" w:type="pct"/>
            <w:shd w:val="clear" w:color="auto" w:fill="auto"/>
            <w:tcMar>
              <w:top w:w="28" w:type="dxa"/>
              <w:left w:w="28" w:type="dxa"/>
              <w:bottom w:w="28" w:type="dxa"/>
              <w:right w:w="28" w:type="dxa"/>
            </w:tcMar>
            <w:vAlign w:val="center"/>
            <w:hideMark/>
          </w:tcPr>
          <w:p w14:paraId="3A8BF2B6" w14:textId="77777777" w:rsidR="00FE5DE7" w:rsidRPr="004E30A9" w:rsidRDefault="00FE5DE7" w:rsidP="00ED72CB">
            <w:pPr>
              <w:spacing w:after="0" w:line="240" w:lineRule="auto"/>
              <w:jc w:val="center"/>
              <w:rPr>
                <w:rFonts w:ascii="Times New Roman" w:hAnsi="Times New Roman"/>
                <w:sz w:val="26"/>
                <w:szCs w:val="26"/>
              </w:rPr>
            </w:pPr>
            <w:r w:rsidRPr="004E30A9">
              <w:rPr>
                <w:rFonts w:ascii="Times New Roman" w:hAnsi="Times New Roman"/>
                <w:sz w:val="26"/>
                <w:szCs w:val="26"/>
              </w:rPr>
              <w:t>0,041%</w:t>
            </w:r>
          </w:p>
        </w:tc>
      </w:tr>
      <w:tr w:rsidR="00FE5DE7" w:rsidRPr="00EB6ED7" w14:paraId="6D495091" w14:textId="77777777" w:rsidTr="00ED72CB">
        <w:trPr>
          <w:trHeight w:val="340"/>
        </w:trPr>
        <w:tc>
          <w:tcPr>
            <w:tcW w:w="1806" w:type="pct"/>
            <w:shd w:val="clear" w:color="auto" w:fill="auto"/>
            <w:tcMar>
              <w:top w:w="28" w:type="dxa"/>
              <w:left w:w="28" w:type="dxa"/>
              <w:bottom w:w="28" w:type="dxa"/>
              <w:right w:w="28" w:type="dxa"/>
            </w:tcMar>
            <w:vAlign w:val="center"/>
            <w:hideMark/>
          </w:tcPr>
          <w:p w14:paraId="42E744D3" w14:textId="77777777" w:rsidR="00FE5DE7" w:rsidRPr="004E30A9" w:rsidRDefault="00FE5DE7" w:rsidP="00ED72CB">
            <w:pPr>
              <w:spacing w:after="0" w:line="240" w:lineRule="auto"/>
              <w:jc w:val="both"/>
              <w:rPr>
                <w:rFonts w:ascii="Times New Roman" w:hAnsi="Times New Roman"/>
                <w:sz w:val="26"/>
                <w:szCs w:val="26"/>
              </w:rPr>
            </w:pPr>
            <w:r w:rsidRPr="004E30A9">
              <w:rPr>
                <w:rFonts w:ascii="Times New Roman" w:hAnsi="Times New Roman"/>
                <w:sz w:val="26"/>
                <w:szCs w:val="26"/>
              </w:rPr>
              <w:t>NTC 2017</w:t>
            </w:r>
          </w:p>
        </w:tc>
        <w:tc>
          <w:tcPr>
            <w:tcW w:w="694" w:type="pct"/>
            <w:shd w:val="clear" w:color="auto" w:fill="auto"/>
            <w:tcMar>
              <w:top w:w="28" w:type="dxa"/>
              <w:left w:w="28" w:type="dxa"/>
              <w:bottom w:w="28" w:type="dxa"/>
              <w:right w:w="28" w:type="dxa"/>
            </w:tcMar>
            <w:vAlign w:val="center"/>
            <w:hideMark/>
          </w:tcPr>
          <w:p w14:paraId="3D4834CF" w14:textId="77777777" w:rsidR="00FE5DE7" w:rsidRPr="004E30A9" w:rsidRDefault="00FE5DE7" w:rsidP="00ED72CB">
            <w:pPr>
              <w:spacing w:after="0" w:line="240" w:lineRule="auto"/>
              <w:jc w:val="center"/>
              <w:rPr>
                <w:rFonts w:ascii="Times New Roman" w:hAnsi="Times New Roman"/>
                <w:sz w:val="26"/>
                <w:szCs w:val="26"/>
              </w:rPr>
            </w:pPr>
            <w:r w:rsidRPr="004E30A9">
              <w:rPr>
                <w:rFonts w:ascii="Times New Roman" w:hAnsi="Times New Roman"/>
                <w:sz w:val="26"/>
                <w:szCs w:val="26"/>
              </w:rPr>
              <w:t>0,037%</w:t>
            </w:r>
          </w:p>
        </w:tc>
        <w:tc>
          <w:tcPr>
            <w:tcW w:w="1250" w:type="pct"/>
            <w:shd w:val="clear" w:color="auto" w:fill="auto"/>
            <w:tcMar>
              <w:top w:w="28" w:type="dxa"/>
              <w:left w:w="28" w:type="dxa"/>
              <w:bottom w:w="28" w:type="dxa"/>
              <w:right w:w="28" w:type="dxa"/>
            </w:tcMar>
            <w:vAlign w:val="center"/>
            <w:hideMark/>
          </w:tcPr>
          <w:p w14:paraId="161EC118" w14:textId="77777777" w:rsidR="00FE5DE7" w:rsidRPr="004E30A9" w:rsidRDefault="00FE5DE7" w:rsidP="00ED72CB">
            <w:pPr>
              <w:spacing w:after="0" w:line="240" w:lineRule="auto"/>
              <w:jc w:val="center"/>
              <w:rPr>
                <w:rFonts w:ascii="Times New Roman" w:hAnsi="Times New Roman"/>
                <w:sz w:val="26"/>
                <w:szCs w:val="26"/>
              </w:rPr>
            </w:pPr>
            <w:r w:rsidRPr="004E30A9">
              <w:rPr>
                <w:rFonts w:ascii="Times New Roman" w:hAnsi="Times New Roman"/>
                <w:sz w:val="26"/>
                <w:szCs w:val="26"/>
              </w:rPr>
              <w:t>0,049%</w:t>
            </w:r>
          </w:p>
        </w:tc>
        <w:tc>
          <w:tcPr>
            <w:tcW w:w="1250" w:type="pct"/>
            <w:shd w:val="clear" w:color="auto" w:fill="auto"/>
            <w:tcMar>
              <w:top w:w="28" w:type="dxa"/>
              <w:left w:w="28" w:type="dxa"/>
              <w:bottom w:w="28" w:type="dxa"/>
              <w:right w:w="28" w:type="dxa"/>
            </w:tcMar>
            <w:vAlign w:val="center"/>
            <w:hideMark/>
          </w:tcPr>
          <w:p w14:paraId="34E26BAB" w14:textId="77777777" w:rsidR="00FE5DE7" w:rsidRPr="004E30A9" w:rsidRDefault="00FE5DE7" w:rsidP="00ED72CB">
            <w:pPr>
              <w:spacing w:after="0" w:line="240" w:lineRule="auto"/>
              <w:jc w:val="center"/>
              <w:rPr>
                <w:rFonts w:ascii="Times New Roman" w:hAnsi="Times New Roman"/>
                <w:sz w:val="26"/>
                <w:szCs w:val="26"/>
              </w:rPr>
            </w:pPr>
            <w:r w:rsidRPr="004E30A9">
              <w:rPr>
                <w:rFonts w:ascii="Times New Roman" w:hAnsi="Times New Roman"/>
                <w:sz w:val="26"/>
                <w:szCs w:val="26"/>
              </w:rPr>
              <w:t>0,036%</w:t>
            </w:r>
          </w:p>
        </w:tc>
      </w:tr>
      <w:tr w:rsidR="00FE5DE7" w:rsidRPr="00EB6ED7" w14:paraId="2EA753A2" w14:textId="77777777" w:rsidTr="00ED72CB">
        <w:trPr>
          <w:trHeight w:val="340"/>
        </w:trPr>
        <w:tc>
          <w:tcPr>
            <w:tcW w:w="1806" w:type="pct"/>
            <w:shd w:val="clear" w:color="auto" w:fill="auto"/>
            <w:tcMar>
              <w:top w:w="28" w:type="dxa"/>
              <w:left w:w="28" w:type="dxa"/>
              <w:bottom w:w="28" w:type="dxa"/>
              <w:right w:w="28" w:type="dxa"/>
            </w:tcMar>
            <w:vAlign w:val="center"/>
            <w:hideMark/>
          </w:tcPr>
          <w:p w14:paraId="30A4B586" w14:textId="77777777" w:rsidR="00FE5DE7" w:rsidRPr="004E30A9" w:rsidRDefault="00FE5DE7" w:rsidP="00ED72CB">
            <w:pPr>
              <w:spacing w:after="0" w:line="240" w:lineRule="auto"/>
              <w:jc w:val="both"/>
              <w:rPr>
                <w:rFonts w:ascii="Times New Roman" w:hAnsi="Times New Roman"/>
                <w:sz w:val="26"/>
                <w:szCs w:val="26"/>
              </w:rPr>
            </w:pPr>
            <w:r w:rsidRPr="004E30A9">
              <w:rPr>
                <w:rFonts w:ascii="Times New Roman" w:hAnsi="Times New Roman"/>
                <w:sz w:val="26"/>
                <w:szCs w:val="26"/>
              </w:rPr>
              <w:t>NTC 2018</w:t>
            </w:r>
          </w:p>
        </w:tc>
        <w:tc>
          <w:tcPr>
            <w:tcW w:w="694" w:type="pct"/>
            <w:shd w:val="clear" w:color="auto" w:fill="auto"/>
            <w:tcMar>
              <w:top w:w="28" w:type="dxa"/>
              <w:left w:w="28" w:type="dxa"/>
              <w:bottom w:w="28" w:type="dxa"/>
              <w:right w:w="28" w:type="dxa"/>
            </w:tcMar>
            <w:vAlign w:val="center"/>
            <w:hideMark/>
          </w:tcPr>
          <w:p w14:paraId="39D4B06B" w14:textId="77777777" w:rsidR="00FE5DE7" w:rsidRPr="004E30A9" w:rsidRDefault="00FE5DE7" w:rsidP="00ED72CB">
            <w:pPr>
              <w:spacing w:after="0" w:line="240" w:lineRule="auto"/>
              <w:jc w:val="center"/>
              <w:rPr>
                <w:rFonts w:ascii="Times New Roman" w:hAnsi="Times New Roman"/>
                <w:sz w:val="26"/>
                <w:szCs w:val="26"/>
              </w:rPr>
            </w:pPr>
            <w:r w:rsidRPr="004E30A9">
              <w:rPr>
                <w:rFonts w:ascii="Times New Roman" w:hAnsi="Times New Roman"/>
                <w:sz w:val="26"/>
                <w:szCs w:val="26"/>
              </w:rPr>
              <w:t>0,034%</w:t>
            </w:r>
          </w:p>
        </w:tc>
        <w:tc>
          <w:tcPr>
            <w:tcW w:w="1250" w:type="pct"/>
            <w:shd w:val="clear" w:color="auto" w:fill="auto"/>
            <w:tcMar>
              <w:top w:w="28" w:type="dxa"/>
              <w:left w:w="28" w:type="dxa"/>
              <w:bottom w:w="28" w:type="dxa"/>
              <w:right w:w="28" w:type="dxa"/>
            </w:tcMar>
            <w:vAlign w:val="center"/>
            <w:hideMark/>
          </w:tcPr>
          <w:p w14:paraId="2F80D170" w14:textId="77777777" w:rsidR="00FE5DE7" w:rsidRPr="004E30A9" w:rsidRDefault="00FE5DE7" w:rsidP="00ED72CB">
            <w:pPr>
              <w:spacing w:after="0" w:line="240" w:lineRule="auto"/>
              <w:jc w:val="center"/>
              <w:rPr>
                <w:rFonts w:ascii="Times New Roman" w:hAnsi="Times New Roman"/>
                <w:sz w:val="26"/>
                <w:szCs w:val="26"/>
              </w:rPr>
            </w:pPr>
            <w:r w:rsidRPr="004E30A9">
              <w:rPr>
                <w:rFonts w:ascii="Times New Roman" w:hAnsi="Times New Roman"/>
                <w:sz w:val="26"/>
                <w:szCs w:val="26"/>
              </w:rPr>
              <w:t>0,046%</w:t>
            </w:r>
          </w:p>
        </w:tc>
        <w:tc>
          <w:tcPr>
            <w:tcW w:w="1250" w:type="pct"/>
            <w:shd w:val="clear" w:color="auto" w:fill="auto"/>
            <w:tcMar>
              <w:top w:w="28" w:type="dxa"/>
              <w:left w:w="28" w:type="dxa"/>
              <w:bottom w:w="28" w:type="dxa"/>
              <w:right w:w="28" w:type="dxa"/>
            </w:tcMar>
            <w:vAlign w:val="center"/>
            <w:hideMark/>
          </w:tcPr>
          <w:p w14:paraId="7BEF83FC" w14:textId="77777777" w:rsidR="00FE5DE7" w:rsidRPr="004E30A9" w:rsidRDefault="00FE5DE7" w:rsidP="00ED72CB">
            <w:pPr>
              <w:spacing w:after="0" w:line="240" w:lineRule="auto"/>
              <w:jc w:val="center"/>
              <w:rPr>
                <w:rFonts w:ascii="Times New Roman" w:hAnsi="Times New Roman"/>
                <w:sz w:val="26"/>
                <w:szCs w:val="26"/>
              </w:rPr>
            </w:pPr>
            <w:r w:rsidRPr="004E30A9">
              <w:rPr>
                <w:rFonts w:ascii="Times New Roman" w:hAnsi="Times New Roman"/>
                <w:sz w:val="26"/>
                <w:szCs w:val="26"/>
              </w:rPr>
              <w:t>0,033%</w:t>
            </w:r>
          </w:p>
        </w:tc>
      </w:tr>
      <w:tr w:rsidR="00FE5DE7" w:rsidRPr="00EB6ED7" w14:paraId="057D24A6" w14:textId="77777777" w:rsidTr="00ED72CB">
        <w:trPr>
          <w:trHeight w:val="361"/>
        </w:trPr>
        <w:tc>
          <w:tcPr>
            <w:tcW w:w="1806" w:type="pct"/>
            <w:shd w:val="clear" w:color="auto" w:fill="auto"/>
            <w:tcMar>
              <w:top w:w="28" w:type="dxa"/>
              <w:left w:w="28" w:type="dxa"/>
              <w:bottom w:w="28" w:type="dxa"/>
              <w:right w:w="28" w:type="dxa"/>
            </w:tcMar>
            <w:vAlign w:val="center"/>
            <w:hideMark/>
          </w:tcPr>
          <w:p w14:paraId="644035B5" w14:textId="77777777" w:rsidR="00FE5DE7" w:rsidRPr="004E30A9" w:rsidRDefault="00FE5DE7" w:rsidP="00ED72CB">
            <w:pPr>
              <w:spacing w:after="0" w:line="240" w:lineRule="auto"/>
              <w:jc w:val="both"/>
              <w:rPr>
                <w:rFonts w:ascii="Times New Roman" w:hAnsi="Times New Roman"/>
                <w:sz w:val="26"/>
                <w:szCs w:val="26"/>
              </w:rPr>
            </w:pPr>
            <w:r w:rsidRPr="004E30A9">
              <w:rPr>
                <w:rFonts w:ascii="Times New Roman" w:hAnsi="Times New Roman"/>
                <w:sz w:val="26"/>
                <w:szCs w:val="26"/>
              </w:rPr>
              <w:t>NTC 2019</w:t>
            </w:r>
          </w:p>
        </w:tc>
        <w:tc>
          <w:tcPr>
            <w:tcW w:w="694" w:type="pct"/>
            <w:vMerge w:val="restart"/>
            <w:shd w:val="clear" w:color="auto" w:fill="auto"/>
            <w:tcMar>
              <w:top w:w="28" w:type="dxa"/>
              <w:left w:w="28" w:type="dxa"/>
              <w:bottom w:w="28" w:type="dxa"/>
              <w:right w:w="28" w:type="dxa"/>
            </w:tcMar>
            <w:vAlign w:val="center"/>
            <w:hideMark/>
          </w:tcPr>
          <w:p w14:paraId="0E594204" w14:textId="77777777" w:rsidR="00FE5DE7" w:rsidRPr="004E30A9" w:rsidRDefault="00FE5DE7" w:rsidP="00ED72CB">
            <w:pPr>
              <w:spacing w:after="0" w:line="240" w:lineRule="auto"/>
              <w:jc w:val="center"/>
              <w:rPr>
                <w:rFonts w:ascii="Times New Roman" w:hAnsi="Times New Roman"/>
                <w:sz w:val="26"/>
                <w:szCs w:val="26"/>
              </w:rPr>
            </w:pPr>
            <w:r w:rsidRPr="004E30A9">
              <w:rPr>
                <w:rFonts w:ascii="Times New Roman" w:hAnsi="Times New Roman"/>
                <w:sz w:val="26"/>
                <w:szCs w:val="26"/>
              </w:rPr>
              <w:t>0,033%</w:t>
            </w:r>
          </w:p>
        </w:tc>
        <w:tc>
          <w:tcPr>
            <w:tcW w:w="1250" w:type="pct"/>
            <w:shd w:val="clear" w:color="auto" w:fill="auto"/>
            <w:tcMar>
              <w:top w:w="28" w:type="dxa"/>
              <w:left w:w="28" w:type="dxa"/>
              <w:bottom w:w="28" w:type="dxa"/>
              <w:right w:w="28" w:type="dxa"/>
            </w:tcMar>
            <w:vAlign w:val="center"/>
            <w:hideMark/>
          </w:tcPr>
          <w:p w14:paraId="11463E17" w14:textId="77777777" w:rsidR="00FE5DE7" w:rsidRPr="004E30A9" w:rsidRDefault="00FE5DE7" w:rsidP="00ED72CB">
            <w:pPr>
              <w:spacing w:after="0" w:line="240" w:lineRule="auto"/>
              <w:jc w:val="center"/>
              <w:rPr>
                <w:rFonts w:ascii="Times New Roman" w:hAnsi="Times New Roman"/>
                <w:sz w:val="26"/>
                <w:szCs w:val="26"/>
              </w:rPr>
            </w:pPr>
            <w:r w:rsidRPr="004E30A9">
              <w:rPr>
                <w:rFonts w:ascii="Times New Roman" w:hAnsi="Times New Roman"/>
                <w:sz w:val="26"/>
                <w:szCs w:val="26"/>
              </w:rPr>
              <w:t>0,045%</w:t>
            </w:r>
          </w:p>
        </w:tc>
        <w:tc>
          <w:tcPr>
            <w:tcW w:w="1250" w:type="pct"/>
            <w:shd w:val="clear" w:color="auto" w:fill="auto"/>
            <w:tcMar>
              <w:top w:w="28" w:type="dxa"/>
              <w:left w:w="28" w:type="dxa"/>
              <w:bottom w:w="28" w:type="dxa"/>
              <w:right w:w="28" w:type="dxa"/>
            </w:tcMar>
            <w:vAlign w:val="center"/>
            <w:hideMark/>
          </w:tcPr>
          <w:p w14:paraId="4EC8B965" w14:textId="77777777" w:rsidR="00FE5DE7" w:rsidRPr="004E30A9" w:rsidRDefault="00FE5DE7" w:rsidP="00ED72CB">
            <w:pPr>
              <w:spacing w:after="0" w:line="240" w:lineRule="auto"/>
              <w:jc w:val="center"/>
              <w:rPr>
                <w:rFonts w:ascii="Times New Roman" w:hAnsi="Times New Roman"/>
                <w:sz w:val="26"/>
                <w:szCs w:val="26"/>
              </w:rPr>
            </w:pPr>
            <w:r w:rsidRPr="004E30A9">
              <w:rPr>
                <w:rFonts w:ascii="Times New Roman" w:hAnsi="Times New Roman"/>
                <w:sz w:val="26"/>
                <w:szCs w:val="26"/>
              </w:rPr>
              <w:t>0,032%</w:t>
            </w:r>
          </w:p>
        </w:tc>
      </w:tr>
      <w:tr w:rsidR="00FE5DE7" w:rsidRPr="00EB6ED7" w14:paraId="705DBC00" w14:textId="77777777" w:rsidTr="00ED72CB">
        <w:trPr>
          <w:trHeight w:val="340"/>
        </w:trPr>
        <w:tc>
          <w:tcPr>
            <w:tcW w:w="1806" w:type="pct"/>
            <w:shd w:val="clear" w:color="auto" w:fill="auto"/>
            <w:tcMar>
              <w:top w:w="28" w:type="dxa"/>
              <w:left w:w="28" w:type="dxa"/>
              <w:bottom w:w="28" w:type="dxa"/>
              <w:right w:w="28" w:type="dxa"/>
            </w:tcMar>
            <w:vAlign w:val="center"/>
            <w:hideMark/>
          </w:tcPr>
          <w:p w14:paraId="2CF39653" w14:textId="77777777" w:rsidR="00FE5DE7" w:rsidRPr="004E30A9" w:rsidRDefault="00FE5DE7" w:rsidP="00ED72CB">
            <w:pPr>
              <w:spacing w:after="0" w:line="240" w:lineRule="auto"/>
              <w:jc w:val="both"/>
              <w:rPr>
                <w:rFonts w:ascii="Times New Roman" w:hAnsi="Times New Roman"/>
                <w:sz w:val="26"/>
                <w:szCs w:val="26"/>
              </w:rPr>
            </w:pPr>
            <w:r w:rsidRPr="004E30A9">
              <w:rPr>
                <w:rFonts w:ascii="Times New Roman" w:hAnsi="Times New Roman"/>
                <w:sz w:val="26"/>
                <w:szCs w:val="26"/>
              </w:rPr>
              <w:t>NTC 2020</w:t>
            </w:r>
          </w:p>
        </w:tc>
        <w:tc>
          <w:tcPr>
            <w:tcW w:w="694" w:type="pct"/>
            <w:vMerge/>
            <w:vAlign w:val="center"/>
            <w:hideMark/>
          </w:tcPr>
          <w:p w14:paraId="17DAB377" w14:textId="77777777" w:rsidR="00FE5DE7" w:rsidRPr="004E30A9" w:rsidRDefault="00FE5DE7" w:rsidP="00ED72CB">
            <w:pPr>
              <w:spacing w:after="0" w:line="240" w:lineRule="auto"/>
              <w:jc w:val="center"/>
              <w:rPr>
                <w:rFonts w:ascii="Times New Roman" w:hAnsi="Times New Roman"/>
                <w:sz w:val="26"/>
                <w:szCs w:val="26"/>
              </w:rPr>
            </w:pPr>
          </w:p>
        </w:tc>
        <w:tc>
          <w:tcPr>
            <w:tcW w:w="1250" w:type="pct"/>
            <w:shd w:val="clear" w:color="auto" w:fill="auto"/>
            <w:tcMar>
              <w:top w:w="28" w:type="dxa"/>
              <w:left w:w="28" w:type="dxa"/>
              <w:bottom w:w="28" w:type="dxa"/>
              <w:right w:w="28" w:type="dxa"/>
            </w:tcMar>
            <w:vAlign w:val="center"/>
            <w:hideMark/>
          </w:tcPr>
          <w:p w14:paraId="3C239062" w14:textId="77777777" w:rsidR="00FE5DE7" w:rsidRPr="004E30A9" w:rsidRDefault="00FE5DE7" w:rsidP="00ED72CB">
            <w:pPr>
              <w:spacing w:after="0" w:line="240" w:lineRule="auto"/>
              <w:jc w:val="center"/>
              <w:rPr>
                <w:rFonts w:ascii="Times New Roman" w:hAnsi="Times New Roman"/>
                <w:sz w:val="26"/>
                <w:szCs w:val="26"/>
              </w:rPr>
            </w:pPr>
            <w:r w:rsidRPr="004E30A9">
              <w:rPr>
                <w:rFonts w:ascii="Times New Roman" w:hAnsi="Times New Roman"/>
                <w:sz w:val="26"/>
                <w:szCs w:val="26"/>
              </w:rPr>
              <w:t>0,045%</w:t>
            </w:r>
          </w:p>
        </w:tc>
        <w:tc>
          <w:tcPr>
            <w:tcW w:w="1250" w:type="pct"/>
            <w:shd w:val="clear" w:color="auto" w:fill="auto"/>
            <w:tcMar>
              <w:top w:w="28" w:type="dxa"/>
              <w:left w:w="28" w:type="dxa"/>
              <w:bottom w:w="28" w:type="dxa"/>
              <w:right w:w="28" w:type="dxa"/>
            </w:tcMar>
            <w:vAlign w:val="center"/>
            <w:hideMark/>
          </w:tcPr>
          <w:p w14:paraId="3B66C343" w14:textId="77777777" w:rsidR="00FE5DE7" w:rsidRPr="004E30A9" w:rsidRDefault="00FE5DE7" w:rsidP="00ED72CB">
            <w:pPr>
              <w:spacing w:after="0" w:line="240" w:lineRule="auto"/>
              <w:jc w:val="center"/>
              <w:rPr>
                <w:rFonts w:ascii="Times New Roman" w:hAnsi="Times New Roman"/>
                <w:sz w:val="26"/>
                <w:szCs w:val="26"/>
              </w:rPr>
            </w:pPr>
            <w:r w:rsidRPr="004E30A9">
              <w:rPr>
                <w:rFonts w:ascii="Times New Roman" w:hAnsi="Times New Roman"/>
                <w:sz w:val="26"/>
                <w:szCs w:val="26"/>
              </w:rPr>
              <w:t>0,031%</w:t>
            </w:r>
          </w:p>
        </w:tc>
      </w:tr>
      <w:tr w:rsidR="00FE5DE7" w:rsidRPr="00EB6ED7" w14:paraId="408D36C4" w14:textId="77777777" w:rsidTr="00ED72CB">
        <w:trPr>
          <w:trHeight w:val="340"/>
        </w:trPr>
        <w:tc>
          <w:tcPr>
            <w:tcW w:w="1806" w:type="pct"/>
            <w:shd w:val="clear" w:color="auto" w:fill="auto"/>
            <w:tcMar>
              <w:top w:w="28" w:type="dxa"/>
              <w:left w:w="28" w:type="dxa"/>
              <w:bottom w:w="28" w:type="dxa"/>
              <w:right w:w="28" w:type="dxa"/>
            </w:tcMar>
            <w:vAlign w:val="center"/>
            <w:hideMark/>
          </w:tcPr>
          <w:p w14:paraId="570243F6" w14:textId="77777777" w:rsidR="00FE5DE7" w:rsidRPr="004E30A9" w:rsidRDefault="00FE5DE7" w:rsidP="00ED72CB">
            <w:pPr>
              <w:spacing w:after="0" w:line="240" w:lineRule="auto"/>
              <w:jc w:val="both"/>
              <w:rPr>
                <w:rFonts w:ascii="Times New Roman" w:hAnsi="Times New Roman"/>
                <w:sz w:val="26"/>
                <w:szCs w:val="26"/>
              </w:rPr>
            </w:pPr>
            <w:r w:rsidRPr="004E30A9">
              <w:rPr>
                <w:rFonts w:ascii="Times New Roman" w:hAnsi="Times New Roman"/>
                <w:sz w:val="26"/>
                <w:szCs w:val="26"/>
              </w:rPr>
              <w:t>NTC 2021</w:t>
            </w:r>
          </w:p>
        </w:tc>
        <w:tc>
          <w:tcPr>
            <w:tcW w:w="694" w:type="pct"/>
            <w:shd w:val="clear" w:color="auto" w:fill="auto"/>
            <w:tcMar>
              <w:top w:w="28" w:type="dxa"/>
              <w:left w:w="28" w:type="dxa"/>
              <w:bottom w:w="28" w:type="dxa"/>
              <w:right w:w="28" w:type="dxa"/>
            </w:tcMar>
            <w:vAlign w:val="center"/>
            <w:hideMark/>
          </w:tcPr>
          <w:p w14:paraId="0CF606DE" w14:textId="77777777" w:rsidR="00FE5DE7" w:rsidRPr="004E30A9" w:rsidRDefault="00FE5DE7" w:rsidP="00ED72CB">
            <w:pPr>
              <w:spacing w:after="0" w:line="240" w:lineRule="auto"/>
              <w:jc w:val="center"/>
              <w:rPr>
                <w:rFonts w:ascii="Times New Roman" w:hAnsi="Times New Roman"/>
                <w:sz w:val="26"/>
                <w:szCs w:val="26"/>
              </w:rPr>
            </w:pPr>
            <w:r w:rsidRPr="004E30A9">
              <w:rPr>
                <w:rFonts w:ascii="Times New Roman" w:hAnsi="Times New Roman"/>
                <w:sz w:val="26"/>
                <w:szCs w:val="26"/>
              </w:rPr>
              <w:t>0,031%</w:t>
            </w:r>
          </w:p>
        </w:tc>
        <w:tc>
          <w:tcPr>
            <w:tcW w:w="1250" w:type="pct"/>
            <w:shd w:val="clear" w:color="auto" w:fill="auto"/>
            <w:tcMar>
              <w:top w:w="28" w:type="dxa"/>
              <w:left w:w="28" w:type="dxa"/>
              <w:bottom w:w="28" w:type="dxa"/>
              <w:right w:w="28" w:type="dxa"/>
            </w:tcMar>
            <w:vAlign w:val="center"/>
            <w:hideMark/>
          </w:tcPr>
          <w:p w14:paraId="55722599" w14:textId="77777777" w:rsidR="00FE5DE7" w:rsidRPr="004E30A9" w:rsidRDefault="00FE5DE7" w:rsidP="00ED72CB">
            <w:pPr>
              <w:spacing w:after="0" w:line="240" w:lineRule="auto"/>
              <w:jc w:val="center"/>
              <w:rPr>
                <w:rFonts w:ascii="Times New Roman" w:hAnsi="Times New Roman"/>
                <w:sz w:val="26"/>
                <w:szCs w:val="26"/>
              </w:rPr>
            </w:pPr>
            <w:r w:rsidRPr="004E30A9">
              <w:rPr>
                <w:rFonts w:ascii="Times New Roman" w:hAnsi="Times New Roman"/>
                <w:sz w:val="26"/>
                <w:szCs w:val="26"/>
              </w:rPr>
              <w:t>0,042%</w:t>
            </w:r>
          </w:p>
        </w:tc>
        <w:tc>
          <w:tcPr>
            <w:tcW w:w="1250" w:type="pct"/>
            <w:shd w:val="clear" w:color="auto" w:fill="auto"/>
            <w:tcMar>
              <w:top w:w="28" w:type="dxa"/>
              <w:left w:w="28" w:type="dxa"/>
              <w:bottom w:w="28" w:type="dxa"/>
              <w:right w:w="28" w:type="dxa"/>
            </w:tcMar>
            <w:vAlign w:val="center"/>
            <w:hideMark/>
          </w:tcPr>
          <w:p w14:paraId="17194C34" w14:textId="77777777" w:rsidR="00FE5DE7" w:rsidRPr="004E30A9" w:rsidRDefault="00FE5DE7" w:rsidP="00ED72CB">
            <w:pPr>
              <w:spacing w:after="0" w:line="240" w:lineRule="auto"/>
              <w:jc w:val="center"/>
              <w:rPr>
                <w:rFonts w:ascii="Times New Roman" w:hAnsi="Times New Roman"/>
                <w:sz w:val="26"/>
                <w:szCs w:val="26"/>
              </w:rPr>
            </w:pPr>
            <w:r w:rsidRPr="004E30A9">
              <w:rPr>
                <w:rFonts w:ascii="Times New Roman" w:hAnsi="Times New Roman"/>
                <w:sz w:val="26"/>
                <w:szCs w:val="26"/>
              </w:rPr>
              <w:t>0,029%</w:t>
            </w:r>
          </w:p>
        </w:tc>
      </w:tr>
      <w:tr w:rsidR="00FE5DE7" w:rsidRPr="00EB6ED7" w14:paraId="38A65371" w14:textId="77777777" w:rsidTr="00ED72CB">
        <w:trPr>
          <w:trHeight w:val="340"/>
        </w:trPr>
        <w:tc>
          <w:tcPr>
            <w:tcW w:w="1806" w:type="pct"/>
            <w:shd w:val="clear" w:color="auto" w:fill="auto"/>
            <w:tcMar>
              <w:top w:w="28" w:type="dxa"/>
              <w:left w:w="28" w:type="dxa"/>
              <w:bottom w:w="28" w:type="dxa"/>
              <w:right w:w="28" w:type="dxa"/>
            </w:tcMar>
            <w:vAlign w:val="center"/>
            <w:hideMark/>
          </w:tcPr>
          <w:p w14:paraId="047AC8CF" w14:textId="77777777" w:rsidR="00FE5DE7" w:rsidRPr="004E30A9" w:rsidRDefault="00FE5DE7" w:rsidP="00ED72CB">
            <w:pPr>
              <w:spacing w:after="0" w:line="240" w:lineRule="auto"/>
              <w:jc w:val="both"/>
              <w:rPr>
                <w:rFonts w:ascii="Times New Roman" w:hAnsi="Times New Roman"/>
                <w:sz w:val="26"/>
                <w:szCs w:val="26"/>
              </w:rPr>
            </w:pPr>
            <w:r w:rsidRPr="004E30A9">
              <w:rPr>
                <w:rFonts w:ascii="Times New Roman" w:hAnsi="Times New Roman"/>
                <w:sz w:val="26"/>
                <w:szCs w:val="26"/>
              </w:rPr>
              <w:t>Từ NTC 2022 đến NTC 2024</w:t>
            </w:r>
          </w:p>
        </w:tc>
        <w:tc>
          <w:tcPr>
            <w:tcW w:w="694" w:type="pct"/>
            <w:shd w:val="clear" w:color="auto" w:fill="auto"/>
            <w:tcMar>
              <w:top w:w="28" w:type="dxa"/>
              <w:left w:w="28" w:type="dxa"/>
              <w:bottom w:w="28" w:type="dxa"/>
              <w:right w:w="28" w:type="dxa"/>
            </w:tcMar>
            <w:vAlign w:val="center"/>
            <w:hideMark/>
          </w:tcPr>
          <w:p w14:paraId="75766B3D" w14:textId="77777777" w:rsidR="00FE5DE7" w:rsidRPr="004E30A9" w:rsidRDefault="00FE5DE7" w:rsidP="00ED72CB">
            <w:pPr>
              <w:spacing w:after="0" w:line="240" w:lineRule="auto"/>
              <w:jc w:val="center"/>
              <w:rPr>
                <w:rFonts w:ascii="Times New Roman" w:hAnsi="Times New Roman"/>
                <w:sz w:val="26"/>
                <w:szCs w:val="26"/>
              </w:rPr>
            </w:pPr>
            <w:r w:rsidRPr="004E30A9">
              <w:rPr>
                <w:rFonts w:ascii="Times New Roman" w:hAnsi="Times New Roman"/>
                <w:sz w:val="26"/>
                <w:szCs w:val="26"/>
              </w:rPr>
              <w:t>0,015%</w:t>
            </w:r>
          </w:p>
        </w:tc>
        <w:tc>
          <w:tcPr>
            <w:tcW w:w="1250" w:type="pct"/>
            <w:shd w:val="clear" w:color="auto" w:fill="auto"/>
            <w:tcMar>
              <w:top w:w="28" w:type="dxa"/>
              <w:left w:w="28" w:type="dxa"/>
              <w:bottom w:w="28" w:type="dxa"/>
              <w:right w:w="28" w:type="dxa"/>
            </w:tcMar>
            <w:vAlign w:val="center"/>
            <w:hideMark/>
          </w:tcPr>
          <w:p w14:paraId="5AFCEC49" w14:textId="77777777" w:rsidR="00FE5DE7" w:rsidRPr="004E30A9" w:rsidRDefault="00FE5DE7" w:rsidP="00ED72CB">
            <w:pPr>
              <w:spacing w:after="0" w:line="240" w:lineRule="auto"/>
              <w:jc w:val="center"/>
              <w:rPr>
                <w:rFonts w:ascii="Times New Roman" w:hAnsi="Times New Roman"/>
                <w:sz w:val="26"/>
                <w:szCs w:val="26"/>
              </w:rPr>
            </w:pPr>
            <w:r w:rsidRPr="004E30A9">
              <w:rPr>
                <w:rFonts w:ascii="Times New Roman" w:hAnsi="Times New Roman"/>
                <w:sz w:val="26"/>
                <w:szCs w:val="26"/>
              </w:rPr>
              <w:t>0,021%</w:t>
            </w:r>
          </w:p>
        </w:tc>
        <w:tc>
          <w:tcPr>
            <w:tcW w:w="1250" w:type="pct"/>
            <w:shd w:val="clear" w:color="auto" w:fill="auto"/>
            <w:tcMar>
              <w:top w:w="28" w:type="dxa"/>
              <w:left w:w="28" w:type="dxa"/>
              <w:bottom w:w="28" w:type="dxa"/>
              <w:right w:w="28" w:type="dxa"/>
            </w:tcMar>
            <w:vAlign w:val="center"/>
            <w:hideMark/>
          </w:tcPr>
          <w:p w14:paraId="3401805E" w14:textId="77777777" w:rsidR="00FE5DE7" w:rsidRPr="004E30A9" w:rsidRDefault="00FE5DE7" w:rsidP="00ED72CB">
            <w:pPr>
              <w:spacing w:after="0" w:line="240" w:lineRule="auto"/>
              <w:jc w:val="center"/>
              <w:rPr>
                <w:rFonts w:ascii="Times New Roman" w:hAnsi="Times New Roman"/>
                <w:sz w:val="26"/>
                <w:szCs w:val="26"/>
              </w:rPr>
            </w:pPr>
            <w:r w:rsidRPr="004E30A9">
              <w:rPr>
                <w:rFonts w:ascii="Times New Roman" w:hAnsi="Times New Roman"/>
                <w:sz w:val="26"/>
                <w:szCs w:val="26"/>
              </w:rPr>
              <w:t>0,014%</w:t>
            </w:r>
          </w:p>
        </w:tc>
      </w:tr>
    </w:tbl>
    <w:p w14:paraId="2BCBD688" w14:textId="77777777" w:rsidR="00FE5DE7" w:rsidRPr="004E30A9" w:rsidRDefault="00FE5DE7" w:rsidP="004E30A9">
      <w:pPr>
        <w:spacing w:before="120" w:after="120" w:line="276" w:lineRule="auto"/>
        <w:jc w:val="both"/>
        <w:rPr>
          <w:rFonts w:ascii="Times New Roman" w:hAnsi="Times New Roman" w:cs="Times New Roman"/>
          <w:sz w:val="26"/>
          <w:szCs w:val="26"/>
        </w:rPr>
      </w:pPr>
    </w:p>
    <w:p w14:paraId="7B146BD2" w14:textId="1578CBAE" w:rsidR="004F3AA2" w:rsidRPr="004E30A9" w:rsidRDefault="00EB6ED7" w:rsidP="004E30A9">
      <w:pPr>
        <w:spacing w:before="120" w:after="120" w:line="276" w:lineRule="auto"/>
        <w:ind w:firstLine="709"/>
        <w:jc w:val="center"/>
        <w:rPr>
          <w:rFonts w:ascii="Times New Roman" w:hAnsi="Times New Roman" w:cs="Times New Roman"/>
          <w:sz w:val="26"/>
          <w:szCs w:val="26"/>
        </w:rPr>
      </w:pPr>
      <w:r w:rsidRPr="004E30A9">
        <w:rPr>
          <w:rFonts w:ascii="Times New Roman" w:hAnsi="Times New Roman" w:cs="Times New Roman"/>
          <w:b/>
          <w:sz w:val="26"/>
          <w:szCs w:val="26"/>
        </w:rPr>
        <w:t>B. VỀ CƠ CẤU ĐẦU TƯ CỦA BẢO HIỂM TIỀN GỬI</w:t>
      </w:r>
    </w:p>
    <w:p w14:paraId="5979498E" w14:textId="77777777" w:rsidR="004F3AA2" w:rsidRPr="004E30A9" w:rsidRDefault="004F3AA2" w:rsidP="004F3AA2">
      <w:pPr>
        <w:ind w:firstLine="720"/>
        <w:jc w:val="both"/>
        <w:rPr>
          <w:rFonts w:ascii="Times New Roman" w:hAnsi="Times New Roman" w:cs="Times New Roman"/>
          <w:sz w:val="26"/>
          <w:szCs w:val="26"/>
        </w:rPr>
      </w:pPr>
      <w:r w:rsidRPr="004E30A9">
        <w:rPr>
          <w:rFonts w:ascii="Times New Roman" w:hAnsi="Times New Roman" w:cs="Times New Roman"/>
          <w:sz w:val="26"/>
          <w:szCs w:val="26"/>
        </w:rPr>
        <w:t>Theo một khảo sát 16 khu vực pháp lý của Tiểu ban nghiên cứu của Ủy ban khu vực Châu Á- Thái Bình Dương - Hiệp hội Bảo hiểm tiền gửi Quốc tế vào năm 2011,</w:t>
      </w:r>
      <w:r w:rsidRPr="004E30A9">
        <w:rPr>
          <w:rStyle w:val="FootnoteReference"/>
          <w:rFonts w:ascii="Times New Roman" w:hAnsi="Times New Roman" w:cs="Times New Roman"/>
          <w:sz w:val="26"/>
          <w:szCs w:val="26"/>
        </w:rPr>
        <w:footnoteReference w:id="2"/>
      </w:r>
      <w:r w:rsidRPr="004E30A9">
        <w:rPr>
          <w:rFonts w:ascii="Times New Roman" w:hAnsi="Times New Roman" w:cs="Times New Roman"/>
          <w:sz w:val="26"/>
          <w:szCs w:val="26"/>
        </w:rPr>
        <w:t xml:space="preserve"> thặng dư quỹ BHTG, theo quy định của pháp luật các nước, có thể được đầu tư và lợi tức từ đầu tư được bổ sung vào quỹ BHTG. Chính sách đầu tư của công ty bảo hiểm tiền gửi phải xem xét, cân bằng giữa tỷ lệ lợi nhuận cao hơn với sự chắc chắn về nguồn tiền có sẵn khi cần. Để đảm bảo tính an toàn và thanh khoản của các khoản đầu tư, hầu hết các khu vực pháp lý được khảo sát đều yêu cầu công ty bảo hiểm tiền gửi của mình đầu tư vào các công cụ có bảo đảm bằng vốn gốc và có tính thanh khoản cao, chẳng hạn như trái phiếu chính phủ, trái phiếu ngân hàng, kỳ phiếu ngắn hạn hoặc tiền gửi tại ngân hàng trung ương hoặc các tổ chức tài chính lành mạnh khác. Rất ít công ty bảo hiểm tiền gửi được phép đầu tư vào các công cụ khác. </w:t>
      </w:r>
    </w:p>
    <w:p w14:paraId="1184FA73" w14:textId="5481801B" w:rsidR="00913AC7" w:rsidRPr="004E30A9" w:rsidRDefault="004F3AA2" w:rsidP="00913AC7">
      <w:pPr>
        <w:ind w:firstLine="720"/>
        <w:jc w:val="both"/>
        <w:rPr>
          <w:rFonts w:ascii="Times New Roman" w:hAnsi="Times New Roman" w:cs="Times New Roman"/>
          <w:sz w:val="26"/>
          <w:szCs w:val="26"/>
        </w:rPr>
      </w:pPr>
      <w:r w:rsidRPr="004E30A9">
        <w:rPr>
          <w:rFonts w:ascii="Times New Roman" w:hAnsi="Times New Roman" w:cs="Times New Roman"/>
          <w:sz w:val="26"/>
          <w:szCs w:val="26"/>
        </w:rPr>
        <w:t xml:space="preserve">Tại Azerbaijan, Quỹ bảo hiểm tiền gửi Azerbaijan có thể đầu tư vào trái phiếu tài chính nước ngoài và trái phiếu của các quỹ thế chấp (bonds of mortgage funds). Tại Hồng Kông, BHTG Hồng Kông (HKDPB) có thể đầu tư vào các sản phẩm tài chính phái sinh </w:t>
      </w:r>
      <w:r w:rsidRPr="004E30A9">
        <w:rPr>
          <w:rFonts w:ascii="Times New Roman" w:hAnsi="Times New Roman" w:cs="Times New Roman"/>
          <w:sz w:val="26"/>
          <w:szCs w:val="26"/>
        </w:rPr>
        <w:lastRenderedPageBreak/>
        <w:t>phòng ngừa rủi ro để phòng ngừa rủi ro ngoại tệ</w:t>
      </w:r>
      <w:r w:rsidR="00F51DC7" w:rsidRPr="004E30A9">
        <w:rPr>
          <w:rFonts w:ascii="Times New Roman" w:hAnsi="Times New Roman" w:cs="Times New Roman"/>
          <w:sz w:val="26"/>
          <w:szCs w:val="26"/>
        </w:rPr>
        <w:t>.</w:t>
      </w:r>
      <w:r w:rsidRPr="004E30A9">
        <w:rPr>
          <w:rFonts w:ascii="Times New Roman" w:hAnsi="Times New Roman" w:cs="Times New Roman"/>
          <w:sz w:val="26"/>
          <w:szCs w:val="26"/>
        </w:rPr>
        <w:t xml:space="preserve"> </w:t>
      </w:r>
      <w:r w:rsidR="00F51DC7" w:rsidRPr="004E30A9">
        <w:rPr>
          <w:rFonts w:ascii="Times New Roman" w:hAnsi="Times New Roman" w:cs="Times New Roman"/>
          <w:sz w:val="26"/>
          <w:szCs w:val="26"/>
        </w:rPr>
        <w:t>T</w:t>
      </w:r>
      <w:r w:rsidRPr="004E30A9">
        <w:rPr>
          <w:rFonts w:ascii="Times New Roman" w:hAnsi="Times New Roman" w:cs="Times New Roman"/>
          <w:sz w:val="26"/>
          <w:szCs w:val="26"/>
        </w:rPr>
        <w:t xml:space="preserve">ại Kazakhstan, Ngân hàng Trung ương Kazakhstan lập danh sách các công cụ tài chính mà Quỹ bảo hiểm tiền gửi Kazakhstan (KDIF) thực hiện chính sách đầu tư của mình. Các công cụ bao gồm chứng khoán nợ của đại lý (agent debt securities), chứng khoán chính phủ, chứng khoán chính phủ nước ngoài, tiền gửi tại Ngân hàng Trung ương, chứng khoán phái sinh, repos and reverse repos. Tại Nga, Cơ quan Bảo hiểm Tiền gửi (DIA) có thể đầu tư vào trái phiếu doanh nghiệp, cổ phiếu doanh nghiệp và chứng khoán tài chính nước ngoài. Kết quả khảo sát cho thấy là không có sự tương quan giữa các phương thức đầu tư được phép với mô hình triển khai BHTG (BHTG chỉ thực hiện chức năng chi trả và BHTG có chức năng giảm thiểu rủi ro hệ thống hoặc cả hai).  </w:t>
      </w:r>
    </w:p>
    <w:p w14:paraId="127DEBFA" w14:textId="741F4637" w:rsidR="000B70C3" w:rsidRPr="004E30A9" w:rsidRDefault="00913AC7" w:rsidP="00DF63DC">
      <w:pPr>
        <w:ind w:firstLine="720"/>
        <w:jc w:val="both"/>
        <w:rPr>
          <w:rFonts w:ascii="Times New Roman" w:hAnsi="Times New Roman" w:cs="Times New Roman"/>
          <w:sz w:val="26"/>
          <w:szCs w:val="26"/>
          <w:shd w:val="clear" w:color="auto" w:fill="FFFFFF"/>
        </w:rPr>
      </w:pPr>
      <w:r w:rsidRPr="004E30A9">
        <w:rPr>
          <w:rFonts w:ascii="Times New Roman" w:hAnsi="Times New Roman" w:cs="Times New Roman"/>
          <w:sz w:val="26"/>
          <w:szCs w:val="26"/>
        </w:rPr>
        <w:t xml:space="preserve">Tại Nhật Bản, </w:t>
      </w:r>
      <w:r w:rsidRPr="004E30A9">
        <w:rPr>
          <w:rFonts w:ascii="Times New Roman" w:hAnsi="Times New Roman" w:cs="Times New Roman"/>
          <w:sz w:val="26"/>
          <w:szCs w:val="26"/>
          <w:shd w:val="clear" w:color="auto" w:fill="FFFFFF"/>
        </w:rPr>
        <w:t xml:space="preserve">theo quy định tại Luật bảo hiểm tiền gửi Nhật Bản, </w:t>
      </w:r>
      <w:r w:rsidR="00F51DC7" w:rsidRPr="004E30A9">
        <w:rPr>
          <w:rFonts w:ascii="Times New Roman" w:hAnsi="Times New Roman" w:cs="Times New Roman"/>
          <w:sz w:val="26"/>
          <w:szCs w:val="26"/>
          <w:shd w:val="clear" w:color="auto" w:fill="FFFFFF"/>
        </w:rPr>
        <w:t>Tổng công ty Bảo hiểm tiền gửi Nhật Bản (</w:t>
      </w:r>
      <w:r w:rsidRPr="004E30A9">
        <w:rPr>
          <w:rFonts w:ascii="Times New Roman" w:hAnsi="Times New Roman" w:cs="Times New Roman"/>
          <w:sz w:val="26"/>
          <w:szCs w:val="26"/>
          <w:shd w:val="clear" w:color="auto" w:fill="FFFFFF"/>
        </w:rPr>
        <w:t>DICJ</w:t>
      </w:r>
      <w:r w:rsidR="00F51DC7" w:rsidRPr="004E30A9">
        <w:rPr>
          <w:rFonts w:ascii="Times New Roman" w:hAnsi="Times New Roman" w:cs="Times New Roman"/>
          <w:sz w:val="26"/>
          <w:szCs w:val="26"/>
          <w:shd w:val="clear" w:color="auto" w:fill="FFFFFF"/>
        </w:rPr>
        <w:t>)</w:t>
      </w:r>
      <w:r w:rsidRPr="004E30A9">
        <w:rPr>
          <w:rFonts w:ascii="Times New Roman" w:hAnsi="Times New Roman" w:cs="Times New Roman"/>
          <w:sz w:val="26"/>
          <w:szCs w:val="26"/>
          <w:shd w:val="clear" w:color="auto" w:fill="FFFFFF"/>
        </w:rPr>
        <w:t xml:space="preserve"> thực hiện đầu tư nguồn vốn tạm thời nhàn r</w:t>
      </w:r>
      <w:r w:rsidR="003C1DF2" w:rsidRPr="004E30A9">
        <w:rPr>
          <w:rFonts w:ascii="Times New Roman" w:hAnsi="Times New Roman" w:cs="Times New Roman"/>
          <w:sz w:val="26"/>
          <w:szCs w:val="26"/>
          <w:shd w:val="clear" w:color="auto" w:fill="FFFFFF"/>
        </w:rPr>
        <w:t>ỗ</w:t>
      </w:r>
      <w:r w:rsidRPr="004E30A9">
        <w:rPr>
          <w:rFonts w:ascii="Times New Roman" w:hAnsi="Times New Roman" w:cs="Times New Roman"/>
          <w:sz w:val="26"/>
          <w:szCs w:val="26"/>
          <w:shd w:val="clear" w:color="auto" w:fill="FFFFFF"/>
        </w:rPr>
        <w:t>i, cụ thế: (i) Mua trái phiếu chính phủ hay các loại chứng khoán khác do Thủ tướng và Bộ trưởng tài chính chỉ định; (ii) Gửi tiền tại các tổ chức tài chính do Thủ tướng và Bộ trưởng tài chính chỉ định; hoặc (ii</w:t>
      </w:r>
      <w:r w:rsidR="00307938" w:rsidRPr="004E30A9">
        <w:rPr>
          <w:rFonts w:ascii="Times New Roman" w:hAnsi="Times New Roman" w:cs="Times New Roman"/>
          <w:sz w:val="26"/>
          <w:szCs w:val="26"/>
          <w:shd w:val="clear" w:color="auto" w:fill="FFFFFF"/>
        </w:rPr>
        <w:t>i</w:t>
      </w:r>
      <w:r w:rsidRPr="004E30A9">
        <w:rPr>
          <w:rFonts w:ascii="Times New Roman" w:hAnsi="Times New Roman" w:cs="Times New Roman"/>
          <w:sz w:val="26"/>
          <w:szCs w:val="26"/>
          <w:shd w:val="clear" w:color="auto" w:fill="FFFFFF"/>
        </w:rPr>
        <w:t>) Các tài sản khác được quy định chi tiết trong Pháp lệnh Văn phòng Chính phủ và Pháp lệnh của Bộ tài chính. DICJ phân bổ quỹ vào 10 tài khoản, trong đó tài khoản chính là Tài khoản Chung với các đặc điểm</w:t>
      </w:r>
      <w:r w:rsidR="00307938" w:rsidRPr="004E30A9">
        <w:rPr>
          <w:rFonts w:ascii="Times New Roman" w:hAnsi="Times New Roman" w:cs="Times New Roman"/>
          <w:sz w:val="26"/>
          <w:szCs w:val="26"/>
          <w:shd w:val="clear" w:color="auto" w:fill="FFFFFF"/>
        </w:rPr>
        <w:t xml:space="preserve"> như</w:t>
      </w:r>
      <w:r w:rsidRPr="004E30A9">
        <w:rPr>
          <w:rFonts w:ascii="Times New Roman" w:hAnsi="Times New Roman" w:cs="Times New Roman"/>
          <w:sz w:val="26"/>
          <w:szCs w:val="26"/>
          <w:shd w:val="clear" w:color="auto" w:fill="FFFFFF"/>
        </w:rPr>
        <w:t>: Doanh thu chủ yếu đến từ phí bảo hiểm</w:t>
      </w:r>
      <w:r w:rsidR="00307938" w:rsidRPr="004E30A9">
        <w:rPr>
          <w:rFonts w:ascii="Times New Roman" w:hAnsi="Times New Roman" w:cs="Times New Roman"/>
          <w:sz w:val="26"/>
          <w:szCs w:val="26"/>
          <w:shd w:val="clear" w:color="auto" w:fill="FFFFFF"/>
        </w:rPr>
        <w:t>(</w:t>
      </w:r>
      <w:r w:rsidRPr="004E30A9">
        <w:rPr>
          <w:rFonts w:ascii="Times New Roman" w:hAnsi="Times New Roman" w:cs="Times New Roman"/>
          <w:sz w:val="26"/>
          <w:szCs w:val="26"/>
          <w:shd w:val="clear" w:color="auto" w:fill="FFFFFF"/>
        </w:rPr>
        <w:t>198 tỷ Yên trong năm tài chính 2023</w:t>
      </w:r>
      <w:r w:rsidR="00307938" w:rsidRPr="004E30A9">
        <w:rPr>
          <w:rFonts w:ascii="Times New Roman" w:hAnsi="Times New Roman" w:cs="Times New Roman"/>
          <w:sz w:val="26"/>
          <w:szCs w:val="26"/>
          <w:shd w:val="clear" w:color="auto" w:fill="FFFFFF"/>
        </w:rPr>
        <w:t>);</w:t>
      </w:r>
      <w:r w:rsidRPr="004E30A9">
        <w:rPr>
          <w:rFonts w:ascii="Times New Roman" w:hAnsi="Times New Roman" w:cs="Times New Roman"/>
          <w:sz w:val="26"/>
          <w:szCs w:val="26"/>
          <w:shd w:val="clear" w:color="auto" w:fill="FFFFFF"/>
        </w:rPr>
        <w:t>Dư nợ quỹ dự phòng đạt 5,4 nghìn tỷ yên - tính đến cuối tháng 3 năm 2024</w:t>
      </w:r>
      <w:r w:rsidR="00307938" w:rsidRPr="004E30A9">
        <w:rPr>
          <w:rFonts w:ascii="Times New Roman" w:hAnsi="Times New Roman" w:cs="Times New Roman"/>
          <w:sz w:val="26"/>
          <w:szCs w:val="26"/>
          <w:shd w:val="clear" w:color="auto" w:fill="FFFFFF"/>
        </w:rPr>
        <w:t>;</w:t>
      </w:r>
      <w:r w:rsidRPr="004E30A9">
        <w:rPr>
          <w:rFonts w:ascii="Times New Roman" w:hAnsi="Times New Roman" w:cs="Times New Roman"/>
          <w:sz w:val="26"/>
          <w:szCs w:val="26"/>
          <w:shd w:val="clear" w:color="auto" w:fill="FFFFFF"/>
        </w:rPr>
        <w:t xml:space="preserve"> Tỷ lệ Quỹ mục tiêu là 0,7% tổng số dư tiền gửi được bảo hiểm (ước tính khoảng 7 nghìn tỷ Yên)</w:t>
      </w:r>
      <w:r w:rsidR="00307938" w:rsidRPr="004E30A9">
        <w:rPr>
          <w:rFonts w:ascii="Times New Roman" w:hAnsi="Times New Roman" w:cs="Times New Roman"/>
          <w:sz w:val="26"/>
          <w:szCs w:val="26"/>
          <w:shd w:val="clear" w:color="auto" w:fill="FFFFFF"/>
        </w:rPr>
        <w:t>;</w:t>
      </w:r>
      <w:r w:rsidRPr="004E30A9">
        <w:rPr>
          <w:rFonts w:ascii="Times New Roman" w:hAnsi="Times New Roman" w:cs="Times New Roman"/>
          <w:sz w:val="26"/>
          <w:szCs w:val="26"/>
          <w:shd w:val="clear" w:color="auto" w:fill="FFFFFF"/>
        </w:rPr>
        <w:t xml:space="preserve">  DICJ chưa phát hành trái phiếu hoặc vay nợ tính đến thời điểm này</w:t>
      </w:r>
      <w:r w:rsidR="00307938" w:rsidRPr="004E30A9">
        <w:rPr>
          <w:rFonts w:ascii="Times New Roman" w:hAnsi="Times New Roman" w:cs="Times New Roman"/>
          <w:sz w:val="26"/>
          <w:szCs w:val="26"/>
          <w:shd w:val="clear" w:color="auto" w:fill="FFFFFF"/>
        </w:rPr>
        <w:t xml:space="preserve"> đối với Tài khoản Chung;</w:t>
      </w:r>
      <w:r w:rsidRPr="004E30A9">
        <w:rPr>
          <w:rFonts w:ascii="Times New Roman" w:hAnsi="Times New Roman" w:cs="Times New Roman"/>
          <w:sz w:val="26"/>
          <w:szCs w:val="26"/>
          <w:shd w:val="clear" w:color="auto" w:fill="FFFFFF"/>
        </w:rPr>
        <w:t xml:space="preserve"> Chính phủ bảo lãnh lên tới 19 nghìn tỷ Yên cho việc phát hành trái phiếu và vay nợ trong năm tài chính 2024</w:t>
      </w:r>
      <w:r w:rsidR="00307938" w:rsidRPr="004E30A9">
        <w:rPr>
          <w:rFonts w:ascii="Times New Roman" w:hAnsi="Times New Roman" w:cs="Times New Roman"/>
          <w:sz w:val="26"/>
          <w:szCs w:val="26"/>
          <w:shd w:val="clear" w:color="auto" w:fill="FFFFFF"/>
        </w:rPr>
        <w:t>;</w:t>
      </w:r>
      <w:r w:rsidRPr="004E30A9">
        <w:rPr>
          <w:rFonts w:ascii="Times New Roman" w:hAnsi="Times New Roman" w:cs="Times New Roman"/>
          <w:sz w:val="26"/>
          <w:szCs w:val="26"/>
          <w:shd w:val="clear" w:color="auto" w:fill="FFFFFF"/>
        </w:rPr>
        <w:t xml:space="preserve"> Quỹ dự phòng được gửi tại tài khoản vãng lại tại Ngân hàng Trung Ương Nhật Bản trong năm tài chính 2023 và được đầu tư chủ yếu vào Trái phiếu Chính phủ Nhật Bản trong năm tài chính 2024. Tại một số tài khoản khác, DICJ đang phát hành trái phiếu trên thị trường và/hoặc vay từ các tố chức tài chính tư nhân.</w:t>
      </w:r>
    </w:p>
    <w:p w14:paraId="76B6AA19" w14:textId="55B8A702" w:rsidR="00EC0D82" w:rsidRPr="004E30A9" w:rsidRDefault="00EC0D82" w:rsidP="00DF63DC">
      <w:pPr>
        <w:ind w:firstLine="720"/>
        <w:jc w:val="both"/>
        <w:rPr>
          <w:rFonts w:ascii="Times New Roman" w:hAnsi="Times New Roman" w:cs="Times New Roman"/>
          <w:sz w:val="26"/>
          <w:szCs w:val="26"/>
          <w:shd w:val="clear" w:color="auto" w:fill="FFFFFF"/>
        </w:rPr>
      </w:pPr>
      <w:r w:rsidRPr="004E30A9">
        <w:rPr>
          <w:rFonts w:ascii="Times New Roman" w:hAnsi="Times New Roman" w:cs="Times New Roman"/>
          <w:sz w:val="26"/>
          <w:szCs w:val="26"/>
          <w:shd w:val="clear" w:color="auto" w:fill="FFFFFF"/>
        </w:rPr>
        <w:t xml:space="preserve">Tại Singapore, cơ quan BHTG có thể đầu tư vào trái phiếu chính phủ, gửi tiền tại ngân hàng trung ương và Trái phiếu hoặc chứng khoán nợ nào do Singapore Sukuk Pte. Ltd. phát hành và các tài sản khác được Bộ trưởng chấp thuận. Singapore Sukuk Pte. Ltd là một công ty được sở hữu 100% bởi </w:t>
      </w:r>
      <w:r w:rsidR="00307938" w:rsidRPr="004E30A9">
        <w:rPr>
          <w:rFonts w:ascii="Times New Roman" w:hAnsi="Times New Roman" w:cs="Times New Roman"/>
          <w:sz w:val="26"/>
          <w:szCs w:val="26"/>
          <w:shd w:val="clear" w:color="auto" w:fill="FFFFFF"/>
        </w:rPr>
        <w:t>Cơ quan Tiền tệ Singapore (</w:t>
      </w:r>
      <w:r w:rsidRPr="004E30A9">
        <w:rPr>
          <w:rFonts w:ascii="Times New Roman" w:hAnsi="Times New Roman" w:cs="Times New Roman"/>
          <w:sz w:val="26"/>
          <w:szCs w:val="26"/>
          <w:shd w:val="clear" w:color="auto" w:fill="FFFFFF"/>
        </w:rPr>
        <w:t>MAS</w:t>
      </w:r>
      <w:r w:rsidR="00307938" w:rsidRPr="004E30A9">
        <w:rPr>
          <w:rFonts w:ascii="Times New Roman" w:hAnsi="Times New Roman" w:cs="Times New Roman"/>
          <w:sz w:val="26"/>
          <w:szCs w:val="26"/>
          <w:shd w:val="clear" w:color="auto" w:fill="FFFFFF"/>
        </w:rPr>
        <w:t>)</w:t>
      </w:r>
      <w:r w:rsidRPr="004E30A9">
        <w:rPr>
          <w:rFonts w:ascii="Times New Roman" w:hAnsi="Times New Roman" w:cs="Times New Roman"/>
          <w:sz w:val="26"/>
          <w:szCs w:val="26"/>
          <w:shd w:val="clear" w:color="auto" w:fill="FFFFFF"/>
        </w:rPr>
        <w:t>. Chứng khoán của công ty này phát hành được đối xử tương tự như trái phiếu Chính phủ của Singapore về quy định thanh khoản.  </w:t>
      </w:r>
    </w:p>
    <w:p w14:paraId="4859D7C9" w14:textId="5600C0D9" w:rsidR="00EC0D82" w:rsidRPr="004E30A9" w:rsidRDefault="00EC0D82" w:rsidP="008B3399">
      <w:pPr>
        <w:ind w:firstLine="720"/>
        <w:jc w:val="both"/>
        <w:rPr>
          <w:rFonts w:ascii="Times New Roman" w:hAnsi="Times New Roman" w:cs="Times New Roman"/>
          <w:sz w:val="26"/>
          <w:szCs w:val="26"/>
        </w:rPr>
      </w:pPr>
      <w:r w:rsidRPr="004E30A9">
        <w:rPr>
          <w:rFonts w:ascii="Times New Roman" w:hAnsi="Times New Roman" w:cs="Times New Roman"/>
          <w:sz w:val="26"/>
          <w:szCs w:val="26"/>
          <w:shd w:val="clear" w:color="auto" w:fill="FFFFFF"/>
        </w:rPr>
        <w:t>Tại Philippines, cơ quan BHTG có thể đầu tư vào trái phiếu chính phủ, gửi tiền tại ngân hàng trung ương và</w:t>
      </w:r>
      <w:r w:rsidRPr="004E30A9">
        <w:rPr>
          <w:rFonts w:ascii="Times New Roman" w:hAnsi="Times New Roman" w:cs="Times New Roman"/>
          <w:sz w:val="26"/>
          <w:szCs w:val="26"/>
        </w:rPr>
        <w:t xml:space="preserve"> gửi tiền tại bất kỳ ngân hàng nào được chỉ định là đơn vị lưu ký hoặc đại lý tài chính của Chính phủ Philippines.</w:t>
      </w:r>
    </w:p>
    <w:p w14:paraId="0FBEDD9C" w14:textId="525A11F0" w:rsidR="00726F53" w:rsidRPr="004E30A9" w:rsidRDefault="00EB6ED7" w:rsidP="004E30A9">
      <w:pPr>
        <w:ind w:firstLine="720"/>
        <w:jc w:val="center"/>
        <w:rPr>
          <w:rFonts w:ascii="Times New Roman" w:hAnsi="Times New Roman" w:cs="Times New Roman"/>
          <w:b/>
          <w:sz w:val="26"/>
          <w:szCs w:val="26"/>
        </w:rPr>
      </w:pPr>
      <w:r w:rsidRPr="004E30A9">
        <w:rPr>
          <w:rFonts w:ascii="Times New Roman" w:hAnsi="Times New Roman" w:cs="Times New Roman"/>
          <w:b/>
          <w:sz w:val="26"/>
          <w:szCs w:val="26"/>
        </w:rPr>
        <w:t>C. BHTG THAM GIA QUÁ TRÌNH XỬ LÝ TCTD CÓ NGUY CƠ MẤT KHẢ NĂNG CHI TRẢ VÀ TÁI CƠ CẤU TCTD</w:t>
      </w:r>
    </w:p>
    <w:p w14:paraId="42016B8A" w14:textId="57A538AA" w:rsidR="00191A4F" w:rsidRPr="004E30A9" w:rsidRDefault="003D6725" w:rsidP="00DC0073">
      <w:pPr>
        <w:ind w:firstLine="720"/>
        <w:jc w:val="both"/>
        <w:rPr>
          <w:rFonts w:ascii="Times New Roman" w:hAnsi="Times New Roman" w:cs="Times New Roman"/>
          <w:b/>
          <w:sz w:val="26"/>
          <w:szCs w:val="26"/>
        </w:rPr>
      </w:pPr>
      <w:r w:rsidRPr="004E30A9">
        <w:rPr>
          <w:rFonts w:ascii="Times New Roman" w:hAnsi="Times New Roman" w:cs="Times New Roman"/>
          <w:b/>
          <w:sz w:val="26"/>
          <w:szCs w:val="26"/>
        </w:rPr>
        <w:t>I.</w:t>
      </w:r>
      <w:r w:rsidRPr="004E30A9">
        <w:rPr>
          <w:rFonts w:ascii="Times New Roman" w:hAnsi="Times New Roman" w:cs="Times New Roman"/>
          <w:sz w:val="26"/>
          <w:szCs w:val="26"/>
        </w:rPr>
        <w:t xml:space="preserve"> </w:t>
      </w:r>
      <w:r w:rsidR="00762C0D" w:rsidRPr="004E30A9">
        <w:rPr>
          <w:rFonts w:ascii="Times New Roman" w:hAnsi="Times New Roman" w:cs="Times New Roman"/>
          <w:b/>
          <w:sz w:val="26"/>
          <w:szCs w:val="26"/>
        </w:rPr>
        <w:t>Tổng quan</w:t>
      </w:r>
      <w:r w:rsidR="00191A4F" w:rsidRPr="004E30A9">
        <w:rPr>
          <w:rFonts w:ascii="Times New Roman" w:hAnsi="Times New Roman" w:cs="Times New Roman"/>
          <w:b/>
          <w:sz w:val="26"/>
          <w:szCs w:val="26"/>
        </w:rPr>
        <w:t>:</w:t>
      </w:r>
    </w:p>
    <w:p w14:paraId="65C43215" w14:textId="7BEF270F" w:rsidR="00DC0073" w:rsidRPr="004E30A9" w:rsidRDefault="00307938" w:rsidP="00191A4F">
      <w:pPr>
        <w:ind w:firstLine="720"/>
        <w:jc w:val="both"/>
        <w:rPr>
          <w:rFonts w:ascii="Times New Roman" w:hAnsi="Times New Roman" w:cs="Times New Roman"/>
          <w:sz w:val="26"/>
          <w:szCs w:val="26"/>
        </w:rPr>
      </w:pPr>
      <w:r w:rsidRPr="004E30A9">
        <w:rPr>
          <w:rFonts w:ascii="Times New Roman" w:hAnsi="Times New Roman" w:cs="Times New Roman"/>
          <w:sz w:val="26"/>
          <w:szCs w:val="26"/>
        </w:rPr>
        <w:t>Dữ liệu năm 2023 của Hiệp hội BHTG quốc tế (AIDI) khẳng định trách nhiệm của BHTG liên tục tăng lên, không chỉ dừng lại ở trách nhiệm chi trả bảo hiểm</w:t>
      </w:r>
      <w:r w:rsidR="00824582" w:rsidRPr="004E30A9">
        <w:rPr>
          <w:rFonts w:ascii="Times New Roman" w:hAnsi="Times New Roman" w:cs="Times New Roman"/>
          <w:sz w:val="26"/>
          <w:szCs w:val="26"/>
        </w:rPr>
        <w:t xml:space="preserve"> cho người gửi tiền, đặc biệtv</w:t>
      </w:r>
      <w:r w:rsidRPr="004E30A9">
        <w:rPr>
          <w:rFonts w:ascii="Times New Roman" w:hAnsi="Times New Roman" w:cs="Times New Roman"/>
          <w:sz w:val="26"/>
          <w:szCs w:val="26"/>
        </w:rPr>
        <w:t xml:space="preserve">ai trò của các tổ chức BHTG trong việc tái cơ cấu ngân hàng ngày càng trở </w:t>
      </w:r>
      <w:r w:rsidRPr="004E30A9">
        <w:rPr>
          <w:rFonts w:ascii="Times New Roman" w:hAnsi="Times New Roman" w:cs="Times New Roman"/>
          <w:sz w:val="26"/>
          <w:szCs w:val="26"/>
        </w:rPr>
        <w:lastRenderedPageBreak/>
        <w:t xml:space="preserve">nên quan trọng. </w:t>
      </w:r>
      <w:r w:rsidR="00382F31" w:rsidRPr="004E30A9">
        <w:rPr>
          <w:rFonts w:ascii="Times New Roman" w:hAnsi="Times New Roman" w:cs="Times New Roman"/>
          <w:sz w:val="26"/>
          <w:szCs w:val="26"/>
        </w:rPr>
        <w:t xml:space="preserve">Theo nghiên cứu của </w:t>
      </w:r>
      <w:r w:rsidR="00806A67" w:rsidRPr="004E30A9">
        <w:rPr>
          <w:rFonts w:ascii="Times New Roman" w:hAnsi="Times New Roman" w:cs="Times New Roman"/>
          <w:sz w:val="26"/>
          <w:szCs w:val="26"/>
        </w:rPr>
        <w:t xml:space="preserve">Ngân hàng thanh toán quốc tế - </w:t>
      </w:r>
      <w:r w:rsidR="00382F31" w:rsidRPr="004E30A9">
        <w:rPr>
          <w:rFonts w:ascii="Times New Roman" w:hAnsi="Times New Roman" w:cs="Times New Roman"/>
          <w:sz w:val="26"/>
          <w:szCs w:val="26"/>
        </w:rPr>
        <w:t>BIS,</w:t>
      </w:r>
      <w:r w:rsidR="00C8680F" w:rsidRPr="004E30A9">
        <w:rPr>
          <w:rStyle w:val="FootnoteReference"/>
          <w:rFonts w:ascii="Times New Roman" w:hAnsi="Times New Roman" w:cs="Times New Roman"/>
          <w:sz w:val="26"/>
          <w:szCs w:val="26"/>
        </w:rPr>
        <w:footnoteReference w:id="3"/>
      </w:r>
      <w:r w:rsidR="00382F31" w:rsidRPr="004E30A9">
        <w:rPr>
          <w:rFonts w:ascii="Times New Roman" w:hAnsi="Times New Roman" w:cs="Times New Roman"/>
          <w:sz w:val="26"/>
          <w:szCs w:val="26"/>
        </w:rPr>
        <w:t xml:space="preserve"> </w:t>
      </w:r>
      <w:r w:rsidR="003E6E95" w:rsidRPr="004E30A9">
        <w:rPr>
          <w:rFonts w:ascii="Times New Roman" w:hAnsi="Times New Roman" w:cs="Times New Roman"/>
          <w:sz w:val="26"/>
          <w:szCs w:val="26"/>
        </w:rPr>
        <w:t xml:space="preserve">trong bối cảnh xử lý TCTD mất khả năng chi trả và tái cơ cấu TCTD, </w:t>
      </w:r>
      <w:r w:rsidR="00382F31" w:rsidRPr="004E30A9">
        <w:rPr>
          <w:rFonts w:ascii="Times New Roman" w:hAnsi="Times New Roman" w:cs="Times New Roman"/>
          <w:sz w:val="26"/>
          <w:szCs w:val="26"/>
        </w:rPr>
        <w:t>Quỹ Bảo hiểm tiền gửi có thể được sử dụng để thực hiện các biện pháp thay thế</w:t>
      </w:r>
      <w:r w:rsidR="00E877F5" w:rsidRPr="004E30A9">
        <w:rPr>
          <w:rFonts w:ascii="Times New Roman" w:hAnsi="Times New Roman" w:cs="Times New Roman"/>
          <w:sz w:val="26"/>
          <w:szCs w:val="26"/>
        </w:rPr>
        <w:t xml:space="preserve"> </w:t>
      </w:r>
      <w:r w:rsidR="003E6E95" w:rsidRPr="004E30A9">
        <w:rPr>
          <w:rFonts w:ascii="Times New Roman" w:hAnsi="Times New Roman" w:cs="Times New Roman"/>
          <w:sz w:val="26"/>
          <w:szCs w:val="26"/>
        </w:rPr>
        <w:t xml:space="preserve">(ngoài việc thực hiện chi trả bảo hiểm tiền gửi cho người gửi tiền) </w:t>
      </w:r>
      <w:r w:rsidR="00382F31" w:rsidRPr="004E30A9">
        <w:rPr>
          <w:rFonts w:ascii="Times New Roman" w:hAnsi="Times New Roman" w:cs="Times New Roman"/>
          <w:sz w:val="26"/>
          <w:szCs w:val="26"/>
        </w:rPr>
        <w:t xml:space="preserve">gồm: </w:t>
      </w:r>
      <w:r w:rsidR="00D24FD7" w:rsidRPr="004E30A9">
        <w:rPr>
          <w:rFonts w:ascii="Times New Roman" w:hAnsi="Times New Roman" w:cs="Times New Roman"/>
          <w:sz w:val="26"/>
          <w:szCs w:val="26"/>
        </w:rPr>
        <w:t xml:space="preserve">(1) </w:t>
      </w:r>
      <w:r w:rsidR="00382F31" w:rsidRPr="004E30A9">
        <w:rPr>
          <w:rFonts w:ascii="Times New Roman" w:hAnsi="Times New Roman" w:cs="Times New Roman"/>
          <w:sz w:val="26"/>
          <w:szCs w:val="26"/>
        </w:rPr>
        <w:t xml:space="preserve">thực hiện giao dịch mua và tiếp quản; </w:t>
      </w:r>
      <w:r w:rsidR="00D24FD7" w:rsidRPr="004E30A9">
        <w:rPr>
          <w:rFonts w:ascii="Times New Roman" w:hAnsi="Times New Roman" w:cs="Times New Roman"/>
          <w:sz w:val="26"/>
          <w:szCs w:val="26"/>
        </w:rPr>
        <w:t xml:space="preserve">(2) </w:t>
      </w:r>
      <w:r w:rsidR="00382F31" w:rsidRPr="004E30A9">
        <w:rPr>
          <w:rFonts w:ascii="Times New Roman" w:hAnsi="Times New Roman" w:cs="Times New Roman"/>
          <w:sz w:val="26"/>
          <w:szCs w:val="26"/>
        </w:rPr>
        <w:t xml:space="preserve">bán các khoản tiền gửi và các hoạt động kinh doanh khác cho một ngân hàng bắc cầu; </w:t>
      </w:r>
      <w:r w:rsidR="00D24FD7" w:rsidRPr="004E30A9">
        <w:rPr>
          <w:rFonts w:ascii="Times New Roman" w:hAnsi="Times New Roman" w:cs="Times New Roman"/>
          <w:sz w:val="26"/>
          <w:szCs w:val="26"/>
        </w:rPr>
        <w:t xml:space="preserve">(3) </w:t>
      </w:r>
      <w:r w:rsidR="00382F31" w:rsidRPr="004E30A9">
        <w:rPr>
          <w:rFonts w:ascii="Times New Roman" w:hAnsi="Times New Roman" w:cs="Times New Roman"/>
          <w:sz w:val="26"/>
          <w:szCs w:val="26"/>
        </w:rPr>
        <w:t xml:space="preserve">cung cấp vốn và hỗ trợ thanh khoản để ngăn chặn sự </w:t>
      </w:r>
      <w:r w:rsidR="008141D2" w:rsidRPr="004E30A9">
        <w:rPr>
          <w:rFonts w:ascii="Times New Roman" w:hAnsi="Times New Roman" w:cs="Times New Roman"/>
          <w:sz w:val="26"/>
          <w:szCs w:val="26"/>
        </w:rPr>
        <w:t>đổ vỡ</w:t>
      </w:r>
      <w:r w:rsidR="00382F31" w:rsidRPr="004E30A9">
        <w:rPr>
          <w:rFonts w:ascii="Times New Roman" w:hAnsi="Times New Roman" w:cs="Times New Roman"/>
          <w:sz w:val="26"/>
          <w:szCs w:val="26"/>
        </w:rPr>
        <w:t xml:space="preserve"> của một ngân hàng đang gặp khó khăn.</w:t>
      </w:r>
      <w:r w:rsidR="00DC0073" w:rsidRPr="004E30A9">
        <w:rPr>
          <w:rFonts w:ascii="Times New Roman" w:hAnsi="Times New Roman" w:cs="Times New Roman"/>
          <w:sz w:val="26"/>
          <w:szCs w:val="26"/>
        </w:rPr>
        <w:t xml:space="preserve"> Mặc dù BHTG không phải là cơ quan có thẩm quyền hoàn toàn với việc tái cơ cấu, hơn 40% các tổ chức BHTG có thể đồng quyết định giải quyết ngân hàng yếu kém.</w:t>
      </w:r>
      <w:r w:rsidR="00DC0073" w:rsidRPr="004E30A9">
        <w:rPr>
          <w:rStyle w:val="FootnoteReference"/>
          <w:rFonts w:ascii="Times New Roman" w:hAnsi="Times New Roman" w:cs="Times New Roman"/>
          <w:sz w:val="26"/>
          <w:szCs w:val="26"/>
        </w:rPr>
        <w:footnoteReference w:id="4"/>
      </w:r>
      <w:r w:rsidR="00191A4F" w:rsidRPr="004E30A9">
        <w:rPr>
          <w:rFonts w:ascii="Times New Roman" w:hAnsi="Times New Roman" w:cs="Times New Roman"/>
          <w:sz w:val="26"/>
          <w:szCs w:val="26"/>
        </w:rPr>
        <w:t xml:space="preserve">  </w:t>
      </w:r>
    </w:p>
    <w:p w14:paraId="32C2354F" w14:textId="77777777" w:rsidR="00DC0073" w:rsidRPr="004E30A9" w:rsidRDefault="00DC0073" w:rsidP="00DC0073">
      <w:pPr>
        <w:ind w:firstLine="720"/>
        <w:jc w:val="both"/>
        <w:rPr>
          <w:rFonts w:ascii="Times New Roman" w:hAnsi="Times New Roman" w:cs="Times New Roman"/>
          <w:sz w:val="26"/>
          <w:szCs w:val="26"/>
        </w:rPr>
      </w:pPr>
      <w:r w:rsidRPr="004E30A9">
        <w:rPr>
          <w:rFonts w:ascii="Times New Roman" w:hAnsi="Times New Roman" w:cs="Times New Roman"/>
          <w:sz w:val="26"/>
          <w:szCs w:val="26"/>
        </w:rPr>
        <w:t>Trong một khảo sát của BIS với 53 tổ chức BHTG vào năm 2019, có 21 tổ chức BHTG cho biết chỉ sử dụng nguồn lực để chi trả bảo hiểm cho người gửi tiền. 32 BHTG còn lại có thể sử dụng nguồn lực của mình cho các biện pháp thay thế. Trong 32 tổ chức BHTG đó:</w:t>
      </w:r>
    </w:p>
    <w:p w14:paraId="5F83DDD5" w14:textId="26BB22BB" w:rsidR="00DC0073" w:rsidRPr="004E30A9" w:rsidRDefault="00DC0073" w:rsidP="00DC0073">
      <w:pPr>
        <w:ind w:firstLine="720"/>
        <w:jc w:val="both"/>
        <w:rPr>
          <w:rFonts w:ascii="Times New Roman" w:hAnsi="Times New Roman" w:cs="Times New Roman"/>
          <w:sz w:val="26"/>
          <w:szCs w:val="26"/>
        </w:rPr>
      </w:pPr>
      <w:r w:rsidRPr="004E30A9">
        <w:rPr>
          <w:rFonts w:ascii="Times New Roman" w:hAnsi="Times New Roman" w:cs="Times New Roman"/>
          <w:sz w:val="26"/>
          <w:szCs w:val="26"/>
        </w:rPr>
        <w:t>- Phần lớn (chiếm khoản</w:t>
      </w:r>
      <w:r w:rsidR="00F846D9" w:rsidRPr="004E30A9">
        <w:rPr>
          <w:rFonts w:ascii="Times New Roman" w:hAnsi="Times New Roman" w:cs="Times New Roman"/>
          <w:sz w:val="26"/>
          <w:szCs w:val="26"/>
        </w:rPr>
        <w:t>g</w:t>
      </w:r>
      <w:r w:rsidRPr="004E30A9">
        <w:rPr>
          <w:rFonts w:ascii="Times New Roman" w:hAnsi="Times New Roman" w:cs="Times New Roman"/>
          <w:sz w:val="26"/>
          <w:szCs w:val="26"/>
        </w:rPr>
        <w:t xml:space="preserve"> 80%) có thể sử dụng nguồn vốn để thực hiện cho việc chuyển tiền gửi được bảo hiểm và các khoản nợ khác của ngân hàng bị phá sản sang một ngân hàng khác. Một tỷ lệ nhỏ hơn (chỉ hơn 60%) có thể sử dụng nguồn vốn để chuyển tiền gửi được bảo hiểm và các khoản nợ khác của ngân hàng bị phá sản sang một ngân hàng bắc cầu.</w:t>
      </w:r>
    </w:p>
    <w:p w14:paraId="60E20ED1" w14:textId="74301967" w:rsidR="00DC0073" w:rsidRPr="004E30A9" w:rsidRDefault="00DC0073" w:rsidP="00DC0073">
      <w:pPr>
        <w:ind w:firstLine="720"/>
        <w:jc w:val="both"/>
        <w:rPr>
          <w:rFonts w:ascii="Times New Roman" w:hAnsi="Times New Roman" w:cs="Times New Roman"/>
          <w:sz w:val="26"/>
          <w:szCs w:val="26"/>
        </w:rPr>
      </w:pPr>
      <w:r w:rsidRPr="004E30A9">
        <w:rPr>
          <w:rFonts w:ascii="Times New Roman" w:hAnsi="Times New Roman" w:cs="Times New Roman"/>
          <w:sz w:val="26"/>
          <w:szCs w:val="26"/>
        </w:rPr>
        <w:t>- 2/3 (68%) có thể cung cấp một số hình thức hỗ trợ tài chính – có thể là vốn hoặc hỗ trợ thanh khoản, hoặc cả hai</w:t>
      </w:r>
      <w:r w:rsidR="00F846D9" w:rsidRPr="004E30A9">
        <w:rPr>
          <w:rFonts w:ascii="Times New Roman" w:hAnsi="Times New Roman" w:cs="Times New Roman"/>
          <w:sz w:val="26"/>
          <w:szCs w:val="26"/>
        </w:rPr>
        <w:t xml:space="preserve"> </w:t>
      </w:r>
      <w:r w:rsidRPr="004E30A9">
        <w:rPr>
          <w:rFonts w:ascii="Times New Roman" w:hAnsi="Times New Roman" w:cs="Times New Roman"/>
          <w:sz w:val="26"/>
          <w:szCs w:val="26"/>
        </w:rPr>
        <w:t xml:space="preserve">- cho ngân hàng đang trong quá trình tái cơ cấu hoặc ngân hàng có nguy cơ (stressed banks) để phòng ngừa đổ vỡ. </w:t>
      </w:r>
    </w:p>
    <w:p w14:paraId="5B5F4AFB" w14:textId="211EDC8A" w:rsidR="00DC0073" w:rsidRPr="004E30A9" w:rsidRDefault="00F27401" w:rsidP="00DC0073">
      <w:pPr>
        <w:ind w:firstLine="720"/>
        <w:jc w:val="both"/>
        <w:rPr>
          <w:rFonts w:ascii="Times New Roman" w:hAnsi="Times New Roman" w:cs="Times New Roman"/>
          <w:sz w:val="26"/>
          <w:szCs w:val="26"/>
        </w:rPr>
      </w:pPr>
      <w:r w:rsidRPr="004E30A9">
        <w:rPr>
          <w:rFonts w:ascii="Times New Roman" w:hAnsi="Times New Roman" w:cs="Times New Roman"/>
          <w:sz w:val="26"/>
          <w:szCs w:val="26"/>
        </w:rPr>
        <w:t>- Một</w:t>
      </w:r>
      <w:r w:rsidR="00DC0073" w:rsidRPr="004E30A9">
        <w:rPr>
          <w:rFonts w:ascii="Times New Roman" w:hAnsi="Times New Roman" w:cs="Times New Roman"/>
          <w:sz w:val="26"/>
          <w:szCs w:val="26"/>
        </w:rPr>
        <w:t xml:space="preserve"> nửa (50%) có thể vừa chuyển tiền vừa cung cấp một số hình thức hỗ trợ tài chính. Hơn một nửa (60%) trong số đó, cơ quan BHTG là cơ quan có thẩm quyền thực hiện tái cơ cấu.</w:t>
      </w:r>
    </w:p>
    <w:p w14:paraId="71CC5DF7" w14:textId="44643582" w:rsidR="00DC0073" w:rsidRPr="004E30A9" w:rsidRDefault="00DC0073" w:rsidP="00DC0073">
      <w:pPr>
        <w:ind w:firstLine="720"/>
        <w:jc w:val="both"/>
        <w:rPr>
          <w:rFonts w:ascii="Times New Roman" w:hAnsi="Times New Roman" w:cs="Times New Roman"/>
          <w:sz w:val="26"/>
          <w:szCs w:val="26"/>
        </w:rPr>
      </w:pPr>
      <w:r w:rsidRPr="004E30A9">
        <w:rPr>
          <w:rFonts w:ascii="Times New Roman" w:hAnsi="Times New Roman" w:cs="Times New Roman"/>
          <w:sz w:val="26"/>
          <w:szCs w:val="26"/>
        </w:rPr>
        <w:t>- 14/32</w:t>
      </w:r>
      <w:r w:rsidR="004C3BD6" w:rsidRPr="004E30A9">
        <w:rPr>
          <w:rFonts w:ascii="Times New Roman" w:hAnsi="Times New Roman" w:cs="Times New Roman"/>
          <w:sz w:val="26"/>
          <w:szCs w:val="26"/>
        </w:rPr>
        <w:t xml:space="preserve"> (44%)</w:t>
      </w:r>
      <w:r w:rsidRPr="004E30A9">
        <w:rPr>
          <w:rFonts w:ascii="Times New Roman" w:hAnsi="Times New Roman" w:cs="Times New Roman"/>
          <w:sz w:val="26"/>
          <w:szCs w:val="26"/>
        </w:rPr>
        <w:t xml:space="preserve"> cơ quan BHTG có nhiệm vụ kép là tổ chức bảo hiểm tiền gửi và cơ quan xử lý tái cơ cấu; và phần lớn trong số đó (11 tổ chức) có thể sử dụng nguồn lực BHTG cho cả mục đích chuyển nhượng và một số hình thức hỗ trợ tài chính. </w:t>
      </w:r>
    </w:p>
    <w:p w14:paraId="483DC451" w14:textId="18ECC713" w:rsidR="00DC0073" w:rsidRPr="004E30A9" w:rsidRDefault="00DC0073" w:rsidP="00DC0073">
      <w:pPr>
        <w:ind w:firstLine="720"/>
        <w:jc w:val="both"/>
        <w:rPr>
          <w:rFonts w:ascii="Times New Roman" w:hAnsi="Times New Roman" w:cs="Times New Roman"/>
          <w:sz w:val="26"/>
          <w:szCs w:val="26"/>
        </w:rPr>
      </w:pPr>
      <w:r w:rsidRPr="004E30A9">
        <w:rPr>
          <w:rFonts w:ascii="Times New Roman" w:hAnsi="Times New Roman" w:cs="Times New Roman"/>
          <w:sz w:val="26"/>
          <w:szCs w:val="26"/>
        </w:rPr>
        <w:t xml:space="preserve">- Trong phần lớn các trường hợp (gần 85%), số </w:t>
      </w:r>
      <w:r w:rsidR="0011233E" w:rsidRPr="004E30A9">
        <w:rPr>
          <w:rFonts w:ascii="Times New Roman" w:hAnsi="Times New Roman" w:cs="Times New Roman"/>
          <w:sz w:val="26"/>
          <w:szCs w:val="26"/>
        </w:rPr>
        <w:t>tiền mà</w:t>
      </w:r>
      <w:r w:rsidRPr="004E30A9">
        <w:rPr>
          <w:rFonts w:ascii="Times New Roman" w:hAnsi="Times New Roman" w:cs="Times New Roman"/>
          <w:sz w:val="26"/>
          <w:szCs w:val="26"/>
        </w:rPr>
        <w:t xml:space="preserve"> BHTG có thể sử dụng </w:t>
      </w:r>
      <w:r w:rsidR="0011233E" w:rsidRPr="004E30A9">
        <w:rPr>
          <w:rFonts w:ascii="Times New Roman" w:hAnsi="Times New Roman" w:cs="Times New Roman"/>
          <w:sz w:val="26"/>
          <w:szCs w:val="26"/>
        </w:rPr>
        <w:t>cho mục đích xử lý khác</w:t>
      </w:r>
      <w:r w:rsidRPr="004E30A9">
        <w:rPr>
          <w:rFonts w:ascii="Times New Roman" w:hAnsi="Times New Roman" w:cs="Times New Roman"/>
          <w:sz w:val="26"/>
          <w:szCs w:val="26"/>
        </w:rPr>
        <w:t xml:space="preserve"> </w:t>
      </w:r>
      <w:r w:rsidR="0011233E" w:rsidRPr="004E30A9">
        <w:rPr>
          <w:rFonts w:ascii="Times New Roman" w:hAnsi="Times New Roman" w:cs="Times New Roman"/>
          <w:sz w:val="26"/>
          <w:szCs w:val="26"/>
        </w:rPr>
        <w:t>(</w:t>
      </w:r>
      <w:r w:rsidRPr="004E30A9">
        <w:rPr>
          <w:rFonts w:ascii="Times New Roman" w:hAnsi="Times New Roman" w:cs="Times New Roman"/>
          <w:sz w:val="26"/>
          <w:szCs w:val="26"/>
        </w:rPr>
        <w:t>ngoài việc thanh toán tiền bảo hiểm</w:t>
      </w:r>
      <w:r w:rsidR="0011233E" w:rsidRPr="004E30A9">
        <w:rPr>
          <w:rFonts w:ascii="Times New Roman" w:hAnsi="Times New Roman" w:cs="Times New Roman"/>
          <w:sz w:val="26"/>
          <w:szCs w:val="26"/>
        </w:rPr>
        <w:t>)</w:t>
      </w:r>
      <w:r w:rsidRPr="004E30A9">
        <w:rPr>
          <w:rFonts w:ascii="Times New Roman" w:hAnsi="Times New Roman" w:cs="Times New Roman"/>
          <w:sz w:val="26"/>
          <w:szCs w:val="26"/>
        </w:rPr>
        <w:t xml:space="preserve"> </w:t>
      </w:r>
      <w:r w:rsidR="0011233E" w:rsidRPr="004E30A9">
        <w:rPr>
          <w:rFonts w:ascii="Times New Roman" w:hAnsi="Times New Roman" w:cs="Times New Roman"/>
          <w:sz w:val="26"/>
          <w:szCs w:val="26"/>
        </w:rPr>
        <w:t xml:space="preserve">sẽ bị </w:t>
      </w:r>
      <w:r w:rsidRPr="004E30A9">
        <w:rPr>
          <w:rFonts w:ascii="Times New Roman" w:hAnsi="Times New Roman" w:cs="Times New Roman"/>
          <w:sz w:val="26"/>
          <w:szCs w:val="26"/>
        </w:rPr>
        <w:t>giới hạn</w:t>
      </w:r>
      <w:r w:rsidR="0011233E" w:rsidRPr="004E30A9">
        <w:rPr>
          <w:rFonts w:ascii="Times New Roman" w:hAnsi="Times New Roman" w:cs="Times New Roman"/>
          <w:sz w:val="26"/>
          <w:szCs w:val="26"/>
        </w:rPr>
        <w:t>,</w:t>
      </w:r>
      <w:r w:rsidRPr="004E30A9">
        <w:rPr>
          <w:rFonts w:ascii="Times New Roman" w:hAnsi="Times New Roman" w:cs="Times New Roman"/>
          <w:sz w:val="26"/>
          <w:szCs w:val="26"/>
        </w:rPr>
        <w:t xml:space="preserve"> bằng cách tham chiếu đến các khoản lỗ mà BHTG sẽ phải chịu nếu thanh toán các khoản tiền gửi được bảo hiểm trong quá trình thanh lý. </w:t>
      </w:r>
      <w:r w:rsidR="0011233E" w:rsidRPr="004E30A9">
        <w:rPr>
          <w:rFonts w:ascii="Times New Roman" w:hAnsi="Times New Roman" w:cs="Times New Roman"/>
          <w:sz w:val="26"/>
          <w:szCs w:val="26"/>
        </w:rPr>
        <w:t>Tùy từng quốc gia, giới hạn này có thể là bắt buộc hoặc có thể được</w:t>
      </w:r>
      <w:r w:rsidRPr="004E30A9">
        <w:rPr>
          <w:rFonts w:ascii="Times New Roman" w:hAnsi="Times New Roman" w:cs="Times New Roman"/>
          <w:sz w:val="26"/>
          <w:szCs w:val="26"/>
        </w:rPr>
        <w:t xml:space="preserve"> phép vượt qua khi đáp ứng các điều kiện cụ thể. </w:t>
      </w:r>
    </w:p>
    <w:p w14:paraId="04A12D5F" w14:textId="165C4108" w:rsidR="00DC0073" w:rsidRPr="004E30A9" w:rsidRDefault="00DC0073" w:rsidP="00DC0073">
      <w:pPr>
        <w:ind w:firstLine="720"/>
        <w:jc w:val="both"/>
        <w:rPr>
          <w:rFonts w:ascii="Times New Roman" w:hAnsi="Times New Roman" w:cs="Times New Roman"/>
          <w:sz w:val="26"/>
          <w:szCs w:val="26"/>
        </w:rPr>
      </w:pPr>
      <w:r w:rsidRPr="004E30A9">
        <w:rPr>
          <w:rFonts w:ascii="Times New Roman" w:hAnsi="Times New Roman" w:cs="Times New Roman"/>
          <w:sz w:val="26"/>
          <w:szCs w:val="26"/>
        </w:rPr>
        <w:t>- Hơn 40% các khu vực pháp lý được khảo sát có Quỹ tái cơ cấu ngân hàng, tách biệt với Quỹ BHTG. Hơn một nửa trong số</w:t>
      </w:r>
      <w:r w:rsidR="004C3BD6" w:rsidRPr="004E30A9">
        <w:rPr>
          <w:rFonts w:ascii="Times New Roman" w:hAnsi="Times New Roman" w:cs="Times New Roman"/>
          <w:sz w:val="26"/>
          <w:szCs w:val="26"/>
        </w:rPr>
        <w:t xml:space="preserve"> đó (8/</w:t>
      </w:r>
      <w:r w:rsidRPr="004E30A9">
        <w:rPr>
          <w:rFonts w:ascii="Times New Roman" w:hAnsi="Times New Roman" w:cs="Times New Roman"/>
          <w:sz w:val="26"/>
          <w:szCs w:val="26"/>
        </w:rPr>
        <w:t xml:space="preserve">14) là các quốc gia thành viên EU hoặc EEA được yêu cầu duy trì cả quỹ BHTG và Quỹ tái cơ cấu ngân hàng. </w:t>
      </w:r>
    </w:p>
    <w:p w14:paraId="3656561A" w14:textId="0F880E0B" w:rsidR="00BA0348" w:rsidRPr="004E30A9" w:rsidRDefault="00950EB9" w:rsidP="00382F31">
      <w:pPr>
        <w:ind w:firstLine="720"/>
        <w:jc w:val="both"/>
        <w:rPr>
          <w:rFonts w:ascii="Times New Roman" w:hAnsi="Times New Roman" w:cs="Times New Roman"/>
          <w:b/>
          <w:sz w:val="26"/>
          <w:szCs w:val="26"/>
        </w:rPr>
      </w:pPr>
      <w:r w:rsidRPr="004E30A9">
        <w:rPr>
          <w:rFonts w:ascii="Times New Roman" w:hAnsi="Times New Roman" w:cs="Times New Roman"/>
          <w:b/>
          <w:sz w:val="26"/>
          <w:szCs w:val="26"/>
        </w:rPr>
        <w:t>I</w:t>
      </w:r>
      <w:r w:rsidR="00191A4F" w:rsidRPr="004E30A9">
        <w:rPr>
          <w:rFonts w:ascii="Times New Roman" w:hAnsi="Times New Roman" w:cs="Times New Roman"/>
          <w:b/>
          <w:sz w:val="26"/>
          <w:szCs w:val="26"/>
        </w:rPr>
        <w:t>I</w:t>
      </w:r>
      <w:r w:rsidR="00BA0348" w:rsidRPr="004E30A9">
        <w:rPr>
          <w:rFonts w:ascii="Times New Roman" w:hAnsi="Times New Roman" w:cs="Times New Roman"/>
          <w:b/>
          <w:sz w:val="26"/>
          <w:szCs w:val="26"/>
        </w:rPr>
        <w:t>. Về tiêu chuẩn quốc tế:</w:t>
      </w:r>
    </w:p>
    <w:p w14:paraId="5FDDD770" w14:textId="77777777" w:rsidR="00D24FD7" w:rsidRPr="004E30A9" w:rsidRDefault="00D24FD7" w:rsidP="00D24FD7">
      <w:pPr>
        <w:ind w:firstLine="720"/>
        <w:jc w:val="both"/>
        <w:rPr>
          <w:rFonts w:ascii="Times New Roman" w:hAnsi="Times New Roman" w:cs="Times New Roman"/>
          <w:sz w:val="26"/>
          <w:szCs w:val="26"/>
        </w:rPr>
      </w:pPr>
      <w:r w:rsidRPr="004E30A9">
        <w:rPr>
          <w:rFonts w:ascii="Times New Roman" w:hAnsi="Times New Roman" w:cs="Times New Roman"/>
          <w:sz w:val="26"/>
          <w:szCs w:val="26"/>
        </w:rPr>
        <w:lastRenderedPageBreak/>
        <w:t>Hiệp hội bảo hiểm tiền gửi quốc tế (IADA) và Ủy ban giám sát ngân hàng Basel đã ban hành Bộ nguyên tắc cốt lõi của IADA về hệ thống bảo hiểm tiền gửi hiệu quả vào năm 2009 (sửa đổi năm 2014), trong đó Nguyên tắc cốt lõi số 9 (tiêu chí 8) có nêu rằng “Mặc dù không phải là cơ quan có thẩm quyền thực hiện tái cơ cấu, trong phạm vi khuôn khổ pháp lý cho phép, Bảo hiểm tiền gửi được quyền lựa chọn sử dụng quỹ của mình để thực hiện tái cơ cấu TCTD, chứ không chỉ thanh lý TCTD. Trong trường hợp sử dụng quỹ của mình để thực hiện tái cơ cấu TCTD, các điều kiện sau phải thỏa mãn:</w:t>
      </w:r>
    </w:p>
    <w:p w14:paraId="5C9ED1FB" w14:textId="77777777" w:rsidR="00D24FD7" w:rsidRPr="004E30A9" w:rsidRDefault="00D24FD7" w:rsidP="00D24FD7">
      <w:pPr>
        <w:ind w:firstLine="720"/>
        <w:jc w:val="both"/>
        <w:rPr>
          <w:rFonts w:ascii="Times New Roman" w:hAnsi="Times New Roman" w:cs="Times New Roman"/>
          <w:sz w:val="26"/>
          <w:szCs w:val="26"/>
        </w:rPr>
      </w:pPr>
      <w:r w:rsidRPr="004E30A9">
        <w:rPr>
          <w:rFonts w:ascii="Times New Roman" w:hAnsi="Times New Roman" w:cs="Times New Roman"/>
          <w:sz w:val="26"/>
          <w:szCs w:val="26"/>
        </w:rPr>
        <w:t xml:space="preserve">a. Tổ chức BHTG được thông báo và tham gia vào quá trình ra quyết định tái cơ cấu TCTD; </w:t>
      </w:r>
    </w:p>
    <w:p w14:paraId="53EA7268" w14:textId="77777777" w:rsidR="00D24FD7" w:rsidRPr="004E30A9" w:rsidRDefault="00D24FD7" w:rsidP="00D24FD7">
      <w:pPr>
        <w:ind w:firstLine="720"/>
        <w:jc w:val="both"/>
        <w:rPr>
          <w:rFonts w:ascii="Times New Roman" w:hAnsi="Times New Roman" w:cs="Times New Roman"/>
          <w:sz w:val="26"/>
          <w:szCs w:val="26"/>
        </w:rPr>
      </w:pPr>
      <w:r w:rsidRPr="004E30A9">
        <w:rPr>
          <w:rFonts w:ascii="Times New Roman" w:hAnsi="Times New Roman" w:cs="Times New Roman"/>
          <w:sz w:val="26"/>
          <w:szCs w:val="26"/>
        </w:rPr>
        <w:t xml:space="preserve">b. Việc sử dụng quỹ của tổ chức BHTG phải minh bạch, ghi chép đầy đủ và được thể hiện rõ ràng và chính thức; </w:t>
      </w:r>
    </w:p>
    <w:p w14:paraId="6433F305" w14:textId="672BDC55" w:rsidR="00D24FD7" w:rsidRPr="004E30A9" w:rsidRDefault="00D24FD7" w:rsidP="00D24FD7">
      <w:pPr>
        <w:ind w:firstLine="720"/>
        <w:jc w:val="both"/>
        <w:rPr>
          <w:rFonts w:ascii="Times New Roman" w:hAnsi="Times New Roman" w:cs="Times New Roman"/>
          <w:sz w:val="26"/>
          <w:szCs w:val="26"/>
        </w:rPr>
      </w:pPr>
      <w:r w:rsidRPr="004E30A9">
        <w:rPr>
          <w:rFonts w:ascii="Times New Roman" w:hAnsi="Times New Roman" w:cs="Times New Roman"/>
          <w:sz w:val="26"/>
          <w:szCs w:val="26"/>
        </w:rPr>
        <w:t xml:space="preserve">c. Khi một ngân hàng được tái cơ cấu thông qua một quá trình giải quyết khác với thanh lý, việc tái cơ cấu phải tạo nên một ngân hàng có </w:t>
      </w:r>
      <w:r w:rsidR="00F846D9" w:rsidRPr="004E30A9">
        <w:rPr>
          <w:rFonts w:ascii="Times New Roman" w:hAnsi="Times New Roman" w:cs="Times New Roman"/>
          <w:sz w:val="26"/>
          <w:szCs w:val="26"/>
        </w:rPr>
        <w:t>thể hoạt động được</w:t>
      </w:r>
      <w:r w:rsidRPr="004E30A9">
        <w:rPr>
          <w:rFonts w:ascii="Times New Roman" w:hAnsi="Times New Roman" w:cs="Times New Roman"/>
          <w:sz w:val="26"/>
          <w:szCs w:val="26"/>
        </w:rPr>
        <w:t>, có khả năng thanh toán và được tái cấ</w:t>
      </w:r>
      <w:r w:rsidR="00F846D9" w:rsidRPr="004E30A9">
        <w:rPr>
          <w:rFonts w:ascii="Times New Roman" w:hAnsi="Times New Roman" w:cs="Times New Roman"/>
          <w:sz w:val="26"/>
          <w:szCs w:val="26"/>
        </w:rPr>
        <w:t>u trúc.</w:t>
      </w:r>
      <w:r w:rsidRPr="004E30A9">
        <w:rPr>
          <w:rFonts w:ascii="Times New Roman" w:hAnsi="Times New Roman" w:cs="Times New Roman"/>
          <w:sz w:val="26"/>
          <w:szCs w:val="26"/>
        </w:rPr>
        <w:t xml:space="preserve"> </w:t>
      </w:r>
      <w:r w:rsidR="00F846D9" w:rsidRPr="004E30A9">
        <w:rPr>
          <w:rFonts w:ascii="Times New Roman" w:hAnsi="Times New Roman" w:cs="Times New Roman"/>
          <w:sz w:val="26"/>
          <w:szCs w:val="26"/>
        </w:rPr>
        <w:t>Đ</w:t>
      </w:r>
      <w:r w:rsidRPr="004E30A9">
        <w:rPr>
          <w:rFonts w:ascii="Times New Roman" w:hAnsi="Times New Roman" w:cs="Times New Roman"/>
          <w:sz w:val="26"/>
          <w:szCs w:val="26"/>
        </w:rPr>
        <w:t xml:space="preserve">iều này hạn chế việc tổ chức BHTG phải sử dụng thêm tiền </w:t>
      </w:r>
      <w:r w:rsidR="00F846D9" w:rsidRPr="004E30A9">
        <w:rPr>
          <w:rFonts w:ascii="Times New Roman" w:hAnsi="Times New Roman" w:cs="Times New Roman"/>
          <w:sz w:val="26"/>
          <w:szCs w:val="26"/>
        </w:rPr>
        <w:t>để thực hiện nghĩa vụ chi trả</w:t>
      </w:r>
      <w:r w:rsidRPr="004E30A9">
        <w:rPr>
          <w:rFonts w:ascii="Times New Roman" w:hAnsi="Times New Roman" w:cs="Times New Roman"/>
          <w:sz w:val="26"/>
          <w:szCs w:val="26"/>
        </w:rPr>
        <w:t xml:space="preserve">; </w:t>
      </w:r>
    </w:p>
    <w:p w14:paraId="37FEEE98" w14:textId="485F89D3" w:rsidR="00D24FD7" w:rsidRPr="004E30A9" w:rsidRDefault="00D24FD7" w:rsidP="00D24FD7">
      <w:pPr>
        <w:ind w:firstLine="720"/>
        <w:jc w:val="both"/>
        <w:rPr>
          <w:rFonts w:ascii="Times New Roman" w:hAnsi="Times New Roman" w:cs="Times New Roman"/>
          <w:sz w:val="26"/>
          <w:szCs w:val="26"/>
        </w:rPr>
      </w:pPr>
      <w:r w:rsidRPr="004E30A9">
        <w:rPr>
          <w:rFonts w:ascii="Times New Roman" w:hAnsi="Times New Roman" w:cs="Times New Roman"/>
          <w:sz w:val="26"/>
          <w:szCs w:val="26"/>
        </w:rPr>
        <w:t xml:space="preserve">d. Nguồn lực sử dụng từ BHTG bị </w:t>
      </w:r>
      <w:r w:rsidR="00F846D9" w:rsidRPr="004E30A9">
        <w:rPr>
          <w:rFonts w:ascii="Times New Roman" w:hAnsi="Times New Roman" w:cs="Times New Roman"/>
          <w:sz w:val="26"/>
          <w:szCs w:val="26"/>
        </w:rPr>
        <w:t>giới hạn</w:t>
      </w:r>
      <w:r w:rsidRPr="004E30A9">
        <w:rPr>
          <w:rFonts w:ascii="Times New Roman" w:hAnsi="Times New Roman" w:cs="Times New Roman"/>
          <w:sz w:val="26"/>
          <w:szCs w:val="26"/>
        </w:rPr>
        <w:t xml:space="preserve"> ở mức chi phí mà tổ chức BHTG đáng ra phải chi trả cho người gửi tiền được bảo hiểm khi thanh lý ngân hàng đó, sau khi trừ đi các khoản thu hồi dự kiến; </w:t>
      </w:r>
    </w:p>
    <w:p w14:paraId="4A1406A6" w14:textId="77777777" w:rsidR="00D24FD7" w:rsidRPr="004E30A9" w:rsidRDefault="00D24FD7" w:rsidP="00D24FD7">
      <w:pPr>
        <w:ind w:firstLine="720"/>
        <w:jc w:val="both"/>
        <w:rPr>
          <w:rFonts w:ascii="Times New Roman" w:hAnsi="Times New Roman" w:cs="Times New Roman"/>
          <w:sz w:val="26"/>
          <w:szCs w:val="26"/>
        </w:rPr>
      </w:pPr>
      <w:r w:rsidRPr="004E30A9">
        <w:rPr>
          <w:rFonts w:ascii="Times New Roman" w:hAnsi="Times New Roman" w:cs="Times New Roman"/>
          <w:sz w:val="26"/>
          <w:szCs w:val="26"/>
        </w:rPr>
        <w:t xml:space="preserve">e. Nguồn lực của BHTG không được sử dụng để tái cấp vốn cho các tổ chức đã đã tái cơ cấu trừ khi quyền lợi của cổ đông giảm xuống bằng không và các chủ nợ không được bảo hiểm, không được bảo đảm phải chịu các thiệt hại ngang nhau theo thứ tự ưu tiên yêu cầu bồi thường hợp pháp; </w:t>
      </w:r>
    </w:p>
    <w:p w14:paraId="7D4FE871" w14:textId="77777777" w:rsidR="00D24FD7" w:rsidRPr="004E30A9" w:rsidRDefault="00D24FD7" w:rsidP="00D24FD7">
      <w:pPr>
        <w:ind w:firstLine="720"/>
        <w:jc w:val="both"/>
        <w:rPr>
          <w:rFonts w:ascii="Times New Roman" w:hAnsi="Times New Roman" w:cs="Times New Roman"/>
          <w:sz w:val="26"/>
          <w:szCs w:val="26"/>
        </w:rPr>
      </w:pPr>
      <w:r w:rsidRPr="004E30A9">
        <w:rPr>
          <w:rFonts w:ascii="Times New Roman" w:hAnsi="Times New Roman" w:cs="Times New Roman"/>
          <w:sz w:val="26"/>
          <w:szCs w:val="26"/>
        </w:rPr>
        <w:t xml:space="preserve">f. Việc sử dụng quỹ của BHTG phải được kiểm toán độc lập; và </w:t>
      </w:r>
    </w:p>
    <w:p w14:paraId="7D952498" w14:textId="77777777" w:rsidR="00D24FD7" w:rsidRPr="004E30A9" w:rsidRDefault="00D24FD7" w:rsidP="00D24FD7">
      <w:pPr>
        <w:ind w:firstLine="720"/>
        <w:jc w:val="both"/>
        <w:rPr>
          <w:rFonts w:ascii="Times New Roman" w:hAnsi="Times New Roman" w:cs="Times New Roman"/>
          <w:sz w:val="26"/>
          <w:szCs w:val="26"/>
        </w:rPr>
      </w:pPr>
      <w:r w:rsidRPr="004E30A9">
        <w:rPr>
          <w:rFonts w:ascii="Times New Roman" w:hAnsi="Times New Roman" w:cs="Times New Roman"/>
          <w:sz w:val="26"/>
          <w:szCs w:val="26"/>
        </w:rPr>
        <w:t>g. Tất cả các biện pháp/ quyết định sử dụng nguồn BHTG phải được đánh giá lại (ex post review).</w:t>
      </w:r>
    </w:p>
    <w:p w14:paraId="7B5C0762" w14:textId="77777777" w:rsidR="00950EB9" w:rsidRPr="004E30A9" w:rsidRDefault="00950EB9" w:rsidP="00950EB9">
      <w:pPr>
        <w:ind w:firstLine="720"/>
        <w:jc w:val="both"/>
        <w:rPr>
          <w:rFonts w:ascii="Times New Roman" w:hAnsi="Times New Roman" w:cs="Times New Roman"/>
          <w:b/>
          <w:sz w:val="26"/>
          <w:szCs w:val="26"/>
        </w:rPr>
      </w:pPr>
      <w:r w:rsidRPr="004E30A9">
        <w:rPr>
          <w:rFonts w:ascii="Times New Roman" w:hAnsi="Times New Roman" w:cs="Times New Roman"/>
          <w:b/>
          <w:sz w:val="26"/>
          <w:szCs w:val="26"/>
        </w:rPr>
        <w:t>III. Biện pháp cụ thể:</w:t>
      </w:r>
    </w:p>
    <w:p w14:paraId="14942407" w14:textId="77777777" w:rsidR="00ED57FE" w:rsidRPr="004E30A9" w:rsidRDefault="00950EB9" w:rsidP="00950EB9">
      <w:pPr>
        <w:ind w:firstLine="720"/>
        <w:jc w:val="both"/>
        <w:rPr>
          <w:rFonts w:ascii="Times New Roman" w:hAnsi="Times New Roman" w:cs="Times New Roman"/>
          <w:b/>
          <w:sz w:val="26"/>
          <w:szCs w:val="26"/>
        </w:rPr>
      </w:pPr>
      <w:r w:rsidRPr="004E30A9">
        <w:rPr>
          <w:rFonts w:ascii="Times New Roman" w:hAnsi="Times New Roman" w:cs="Times New Roman"/>
          <w:b/>
          <w:sz w:val="26"/>
          <w:szCs w:val="26"/>
        </w:rPr>
        <w:t xml:space="preserve">1. </w:t>
      </w:r>
      <w:r w:rsidR="00ED57FE" w:rsidRPr="004E30A9">
        <w:rPr>
          <w:rFonts w:ascii="Times New Roman" w:hAnsi="Times New Roman" w:cs="Times New Roman"/>
          <w:b/>
          <w:sz w:val="26"/>
          <w:szCs w:val="26"/>
        </w:rPr>
        <w:t>Hỗ trợ về vốn và thanh khoản</w:t>
      </w:r>
    </w:p>
    <w:p w14:paraId="5FB7EFB9" w14:textId="42F2F2A5" w:rsidR="00ED57FE" w:rsidRPr="004E30A9" w:rsidRDefault="00ED57FE" w:rsidP="00A955CF">
      <w:pPr>
        <w:ind w:firstLine="720"/>
        <w:jc w:val="both"/>
        <w:rPr>
          <w:rFonts w:ascii="Times New Roman" w:hAnsi="Times New Roman" w:cs="Times New Roman"/>
          <w:sz w:val="26"/>
          <w:szCs w:val="26"/>
        </w:rPr>
      </w:pPr>
      <w:r w:rsidRPr="004E30A9">
        <w:rPr>
          <w:rFonts w:ascii="Times New Roman" w:hAnsi="Times New Roman" w:cs="Times New Roman"/>
          <w:sz w:val="26"/>
          <w:szCs w:val="26"/>
        </w:rPr>
        <w:t>Khoản 50% tổ chức BHTG được khảo sát có thể cung cấp vốn cho các thành viên bảo hiểm; 5 tổ chức BHTG có thể cung cấp hỗ trợ vốn cho các thành viên cả trước khi thành viên mất khả năng chi trả hoặc trong quá trình thực hiện tái cơ cấu, hoặc cả hai. Mỗi tổ chứ</w:t>
      </w:r>
      <w:r w:rsidR="00A955CF" w:rsidRPr="004E30A9">
        <w:rPr>
          <w:rFonts w:ascii="Times New Roman" w:hAnsi="Times New Roman" w:cs="Times New Roman"/>
          <w:sz w:val="26"/>
          <w:szCs w:val="26"/>
        </w:rPr>
        <w:t xml:space="preserve">c BHTG này </w:t>
      </w:r>
      <w:r w:rsidRPr="004E30A9">
        <w:rPr>
          <w:rFonts w:ascii="Times New Roman" w:hAnsi="Times New Roman" w:cs="Times New Roman"/>
          <w:sz w:val="26"/>
          <w:szCs w:val="26"/>
        </w:rPr>
        <w:t>có thể cung cấp thanh khoản trong ít nhất một số trường hợp. 6 tổ chức BHTG chỉ có thể cung cấp vốn cho các ngân hàng chưa mất khả năng thanh toán. 5 tổ chức BHTG chỉ có thể cung cấp vốn cho các ngân hàng trong quá trình tái cơ cấ</w:t>
      </w:r>
      <w:r w:rsidR="00A955CF" w:rsidRPr="004E30A9">
        <w:rPr>
          <w:rFonts w:ascii="Times New Roman" w:hAnsi="Times New Roman" w:cs="Times New Roman"/>
          <w:sz w:val="26"/>
          <w:szCs w:val="26"/>
        </w:rPr>
        <w:t>u.</w:t>
      </w:r>
    </w:p>
    <w:tbl>
      <w:tblPr>
        <w:tblW w:w="10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1"/>
        <w:gridCol w:w="1134"/>
        <w:gridCol w:w="59"/>
        <w:gridCol w:w="1358"/>
        <w:gridCol w:w="1418"/>
        <w:gridCol w:w="1276"/>
        <w:gridCol w:w="22"/>
        <w:gridCol w:w="1358"/>
        <w:gridCol w:w="37"/>
        <w:gridCol w:w="1985"/>
      </w:tblGrid>
      <w:tr w:rsidR="004D2F23" w:rsidRPr="00EB6ED7" w14:paraId="460DC2E8" w14:textId="77777777" w:rsidTr="00351B31">
        <w:trPr>
          <w:trHeight w:val="188"/>
        </w:trPr>
        <w:tc>
          <w:tcPr>
            <w:tcW w:w="10168" w:type="dxa"/>
            <w:gridSpan w:val="10"/>
          </w:tcPr>
          <w:p w14:paraId="2E747DE0" w14:textId="77777777" w:rsidR="00ED57FE" w:rsidRPr="004E30A9" w:rsidRDefault="001943B5" w:rsidP="00ED57FE">
            <w:pPr>
              <w:autoSpaceDE w:val="0"/>
              <w:autoSpaceDN w:val="0"/>
              <w:adjustRightInd w:val="0"/>
              <w:spacing w:after="0" w:line="240" w:lineRule="auto"/>
              <w:jc w:val="center"/>
              <w:rPr>
                <w:rFonts w:ascii="Times New Roman" w:hAnsi="Times New Roman" w:cs="Times New Roman"/>
                <w:b/>
                <w:sz w:val="26"/>
                <w:szCs w:val="26"/>
              </w:rPr>
            </w:pPr>
            <w:r w:rsidRPr="004E30A9">
              <w:rPr>
                <w:rFonts w:ascii="Times New Roman" w:hAnsi="Times New Roman" w:cs="Times New Roman"/>
                <w:b/>
                <w:sz w:val="26"/>
                <w:szCs w:val="26"/>
              </w:rPr>
              <w:t>HỖ TRỢ VỀ VỐN</w:t>
            </w:r>
          </w:p>
        </w:tc>
      </w:tr>
      <w:tr w:rsidR="004D2F23" w:rsidRPr="00EB6ED7" w14:paraId="40205068" w14:textId="77777777" w:rsidTr="00700EF3">
        <w:trPr>
          <w:trHeight w:val="403"/>
        </w:trPr>
        <w:tc>
          <w:tcPr>
            <w:tcW w:w="1521" w:type="dxa"/>
          </w:tcPr>
          <w:p w14:paraId="18FB1187" w14:textId="77777777" w:rsidR="00ED57FE" w:rsidRPr="004E30A9" w:rsidRDefault="003E5A33" w:rsidP="00ED57FE">
            <w:pPr>
              <w:autoSpaceDE w:val="0"/>
              <w:autoSpaceDN w:val="0"/>
              <w:adjustRightInd w:val="0"/>
              <w:spacing w:after="0" w:line="240" w:lineRule="auto"/>
              <w:rPr>
                <w:rFonts w:ascii="Times New Roman" w:hAnsi="Times New Roman" w:cs="Times New Roman"/>
                <w:b/>
                <w:sz w:val="26"/>
                <w:szCs w:val="26"/>
              </w:rPr>
            </w:pPr>
            <w:r w:rsidRPr="004E30A9">
              <w:rPr>
                <w:rFonts w:ascii="Times New Roman" w:hAnsi="Times New Roman" w:cs="Times New Roman"/>
                <w:b/>
                <w:sz w:val="26"/>
                <w:szCs w:val="26"/>
              </w:rPr>
              <w:t>Quốc gia (tổ chức BHTG)</w:t>
            </w:r>
            <w:r w:rsidR="00ED57FE" w:rsidRPr="004E30A9">
              <w:rPr>
                <w:rFonts w:ascii="Times New Roman" w:hAnsi="Times New Roman" w:cs="Times New Roman"/>
                <w:b/>
                <w:sz w:val="26"/>
                <w:szCs w:val="26"/>
              </w:rPr>
              <w:t xml:space="preserve"> </w:t>
            </w:r>
          </w:p>
        </w:tc>
        <w:tc>
          <w:tcPr>
            <w:tcW w:w="2551" w:type="dxa"/>
            <w:gridSpan w:val="3"/>
          </w:tcPr>
          <w:p w14:paraId="72DC3A50" w14:textId="77777777" w:rsidR="00ED57FE" w:rsidRPr="004E30A9" w:rsidRDefault="003E5A33" w:rsidP="00ED57FE">
            <w:pPr>
              <w:autoSpaceDE w:val="0"/>
              <w:autoSpaceDN w:val="0"/>
              <w:adjustRightInd w:val="0"/>
              <w:spacing w:after="0" w:line="240" w:lineRule="auto"/>
              <w:rPr>
                <w:rFonts w:ascii="Times New Roman" w:hAnsi="Times New Roman" w:cs="Times New Roman"/>
                <w:b/>
                <w:sz w:val="26"/>
                <w:szCs w:val="26"/>
              </w:rPr>
            </w:pPr>
            <w:r w:rsidRPr="004E30A9">
              <w:rPr>
                <w:rFonts w:ascii="Times New Roman" w:hAnsi="Times New Roman" w:cs="Times New Roman"/>
                <w:b/>
                <w:sz w:val="26"/>
                <w:szCs w:val="26"/>
              </w:rPr>
              <w:t>Hỗ trợ về vốn</w:t>
            </w:r>
            <w:r w:rsidR="00ED57FE" w:rsidRPr="004E30A9">
              <w:rPr>
                <w:rFonts w:ascii="Times New Roman" w:hAnsi="Times New Roman" w:cs="Times New Roman"/>
                <w:b/>
                <w:sz w:val="26"/>
                <w:szCs w:val="26"/>
              </w:rPr>
              <w:t xml:space="preserve"> </w:t>
            </w:r>
          </w:p>
        </w:tc>
        <w:tc>
          <w:tcPr>
            <w:tcW w:w="2694" w:type="dxa"/>
            <w:gridSpan w:val="2"/>
          </w:tcPr>
          <w:p w14:paraId="05B5F9D7" w14:textId="77777777" w:rsidR="00ED57FE" w:rsidRPr="004E30A9" w:rsidRDefault="003E5A33" w:rsidP="00ED57FE">
            <w:pPr>
              <w:autoSpaceDE w:val="0"/>
              <w:autoSpaceDN w:val="0"/>
              <w:adjustRightInd w:val="0"/>
              <w:spacing w:after="0" w:line="240" w:lineRule="auto"/>
              <w:rPr>
                <w:rFonts w:ascii="Times New Roman" w:hAnsi="Times New Roman" w:cs="Times New Roman"/>
                <w:b/>
                <w:sz w:val="26"/>
                <w:szCs w:val="26"/>
              </w:rPr>
            </w:pPr>
            <w:r w:rsidRPr="004E30A9">
              <w:rPr>
                <w:rFonts w:ascii="Times New Roman" w:hAnsi="Times New Roman" w:cs="Times New Roman"/>
                <w:b/>
                <w:sz w:val="26"/>
                <w:szCs w:val="26"/>
              </w:rPr>
              <w:t>Các biện pháp bảo đảm an toàn (safeguards)</w:t>
            </w:r>
            <w:r w:rsidR="00ED57FE" w:rsidRPr="004E30A9">
              <w:rPr>
                <w:rFonts w:ascii="Times New Roman" w:hAnsi="Times New Roman" w:cs="Times New Roman"/>
                <w:b/>
                <w:sz w:val="26"/>
                <w:szCs w:val="26"/>
              </w:rPr>
              <w:t xml:space="preserve"> </w:t>
            </w:r>
          </w:p>
        </w:tc>
        <w:tc>
          <w:tcPr>
            <w:tcW w:w="3402" w:type="dxa"/>
            <w:gridSpan w:val="4"/>
          </w:tcPr>
          <w:p w14:paraId="313E5A70" w14:textId="3051ED37" w:rsidR="00ED57FE" w:rsidRPr="004E30A9" w:rsidRDefault="003E5A33" w:rsidP="00ED57FE">
            <w:pPr>
              <w:autoSpaceDE w:val="0"/>
              <w:autoSpaceDN w:val="0"/>
              <w:adjustRightInd w:val="0"/>
              <w:spacing w:after="0" w:line="240" w:lineRule="auto"/>
              <w:rPr>
                <w:rFonts w:ascii="Times New Roman" w:hAnsi="Times New Roman" w:cs="Times New Roman"/>
                <w:b/>
                <w:sz w:val="26"/>
                <w:szCs w:val="26"/>
              </w:rPr>
            </w:pPr>
            <w:r w:rsidRPr="004E30A9">
              <w:rPr>
                <w:rFonts w:ascii="Times New Roman" w:hAnsi="Times New Roman" w:cs="Times New Roman"/>
                <w:b/>
                <w:sz w:val="26"/>
                <w:szCs w:val="26"/>
              </w:rPr>
              <w:t>Các nguồn vốn khác</w:t>
            </w:r>
            <w:r w:rsidR="00A955CF" w:rsidRPr="004E30A9">
              <w:rPr>
                <w:rFonts w:ascii="Times New Roman" w:hAnsi="Times New Roman" w:cs="Times New Roman"/>
                <w:b/>
                <w:sz w:val="26"/>
                <w:szCs w:val="26"/>
              </w:rPr>
              <w:t>**</w:t>
            </w:r>
            <w:r w:rsidR="00ED57FE" w:rsidRPr="004E30A9">
              <w:rPr>
                <w:rFonts w:ascii="Times New Roman" w:hAnsi="Times New Roman" w:cs="Times New Roman"/>
                <w:b/>
                <w:sz w:val="26"/>
                <w:szCs w:val="26"/>
              </w:rPr>
              <w:t xml:space="preserve"> </w:t>
            </w:r>
          </w:p>
        </w:tc>
      </w:tr>
      <w:tr w:rsidR="004D2F23" w:rsidRPr="00EB6ED7" w14:paraId="09AB7673" w14:textId="77777777" w:rsidTr="00700EF3">
        <w:trPr>
          <w:trHeight w:val="371"/>
        </w:trPr>
        <w:tc>
          <w:tcPr>
            <w:tcW w:w="1521" w:type="dxa"/>
          </w:tcPr>
          <w:p w14:paraId="6929C159" w14:textId="3CBBD05A" w:rsidR="00A955CF" w:rsidRPr="004E30A9" w:rsidRDefault="00A955CF" w:rsidP="00A955CF">
            <w:pPr>
              <w:autoSpaceDE w:val="0"/>
              <w:autoSpaceDN w:val="0"/>
              <w:adjustRightInd w:val="0"/>
              <w:spacing w:after="0" w:line="240" w:lineRule="auto"/>
              <w:rPr>
                <w:rFonts w:ascii="Times New Roman" w:hAnsi="Times New Roman" w:cs="Times New Roman"/>
                <w:b/>
                <w:sz w:val="26"/>
                <w:szCs w:val="26"/>
              </w:rPr>
            </w:pPr>
            <w:r w:rsidRPr="004E30A9">
              <w:rPr>
                <w:rFonts w:ascii="Times New Roman" w:hAnsi="Times New Roman" w:cs="Times New Roman"/>
                <w:b/>
                <w:sz w:val="26"/>
                <w:szCs w:val="26"/>
              </w:rPr>
              <w:lastRenderedPageBreak/>
              <w:t xml:space="preserve">                            </w:t>
            </w:r>
          </w:p>
        </w:tc>
        <w:tc>
          <w:tcPr>
            <w:tcW w:w="1134" w:type="dxa"/>
          </w:tcPr>
          <w:p w14:paraId="1036D5E3" w14:textId="0C34CF03" w:rsidR="00A955CF" w:rsidRPr="004E30A9" w:rsidRDefault="00A955CF" w:rsidP="003E5A33">
            <w:pPr>
              <w:autoSpaceDE w:val="0"/>
              <w:autoSpaceDN w:val="0"/>
              <w:adjustRightInd w:val="0"/>
              <w:spacing w:after="0" w:line="240" w:lineRule="auto"/>
              <w:rPr>
                <w:rFonts w:ascii="Times New Roman" w:hAnsi="Times New Roman" w:cs="Times New Roman"/>
                <w:b/>
                <w:sz w:val="26"/>
                <w:szCs w:val="26"/>
              </w:rPr>
            </w:pPr>
            <w:r w:rsidRPr="004E30A9">
              <w:rPr>
                <w:rFonts w:ascii="Times New Roman" w:hAnsi="Times New Roman" w:cs="Times New Roman"/>
                <w:b/>
                <w:sz w:val="26"/>
                <w:szCs w:val="26"/>
              </w:rPr>
              <w:t xml:space="preserve">                                 Ngoài phạm vi tái cơ cấu  </w:t>
            </w:r>
          </w:p>
        </w:tc>
        <w:tc>
          <w:tcPr>
            <w:tcW w:w="1417" w:type="dxa"/>
            <w:gridSpan w:val="2"/>
          </w:tcPr>
          <w:p w14:paraId="22B81F16" w14:textId="77777777" w:rsidR="00A955CF" w:rsidRPr="004E30A9" w:rsidRDefault="00A955CF" w:rsidP="003E5A33">
            <w:pPr>
              <w:autoSpaceDE w:val="0"/>
              <w:autoSpaceDN w:val="0"/>
              <w:adjustRightInd w:val="0"/>
              <w:spacing w:after="0" w:line="240" w:lineRule="auto"/>
              <w:rPr>
                <w:rFonts w:ascii="Times New Roman" w:hAnsi="Times New Roman" w:cs="Times New Roman"/>
                <w:b/>
                <w:sz w:val="26"/>
                <w:szCs w:val="26"/>
              </w:rPr>
            </w:pPr>
            <w:r w:rsidRPr="004E30A9">
              <w:rPr>
                <w:rFonts w:ascii="Times New Roman" w:hAnsi="Times New Roman" w:cs="Times New Roman"/>
                <w:b/>
                <w:sz w:val="26"/>
                <w:szCs w:val="26"/>
              </w:rPr>
              <w:t xml:space="preserve">Cho ngân hàng đang trong quá trình tái cơ cấu </w:t>
            </w:r>
          </w:p>
        </w:tc>
        <w:tc>
          <w:tcPr>
            <w:tcW w:w="1418" w:type="dxa"/>
          </w:tcPr>
          <w:p w14:paraId="0C8D5C9F" w14:textId="77777777" w:rsidR="00A955CF" w:rsidRPr="004E30A9" w:rsidRDefault="00A955CF" w:rsidP="003E5A33">
            <w:pPr>
              <w:autoSpaceDE w:val="0"/>
              <w:autoSpaceDN w:val="0"/>
              <w:adjustRightInd w:val="0"/>
              <w:spacing w:after="0" w:line="240" w:lineRule="auto"/>
              <w:rPr>
                <w:rFonts w:ascii="Times New Roman" w:hAnsi="Times New Roman" w:cs="Times New Roman"/>
                <w:b/>
                <w:sz w:val="26"/>
                <w:szCs w:val="26"/>
              </w:rPr>
            </w:pPr>
            <w:r w:rsidRPr="004E30A9">
              <w:rPr>
                <w:rFonts w:ascii="Times New Roman" w:hAnsi="Times New Roman" w:cs="Times New Roman"/>
                <w:b/>
                <w:sz w:val="26"/>
                <w:szCs w:val="26"/>
              </w:rPr>
              <w:t xml:space="preserve">Giới hạn tài chính (financial cap) </w:t>
            </w:r>
          </w:p>
        </w:tc>
        <w:tc>
          <w:tcPr>
            <w:tcW w:w="1276" w:type="dxa"/>
          </w:tcPr>
          <w:p w14:paraId="2626FA22" w14:textId="77777777" w:rsidR="00A955CF" w:rsidRPr="004E30A9" w:rsidRDefault="00A955CF" w:rsidP="003E5A33">
            <w:pPr>
              <w:autoSpaceDE w:val="0"/>
              <w:autoSpaceDN w:val="0"/>
              <w:adjustRightInd w:val="0"/>
              <w:spacing w:after="0" w:line="240" w:lineRule="auto"/>
              <w:rPr>
                <w:rFonts w:ascii="Times New Roman" w:hAnsi="Times New Roman" w:cs="Times New Roman"/>
                <w:b/>
                <w:sz w:val="26"/>
                <w:szCs w:val="26"/>
              </w:rPr>
            </w:pPr>
            <w:r w:rsidRPr="004E30A9">
              <w:rPr>
                <w:rFonts w:ascii="Times New Roman" w:hAnsi="Times New Roman" w:cs="Times New Roman"/>
                <w:b/>
                <w:sz w:val="26"/>
                <w:szCs w:val="26"/>
              </w:rPr>
              <w:t xml:space="preserve">Khả năng vượt quá giới hạn tài chính </w:t>
            </w:r>
          </w:p>
        </w:tc>
        <w:tc>
          <w:tcPr>
            <w:tcW w:w="1417" w:type="dxa"/>
            <w:gridSpan w:val="3"/>
          </w:tcPr>
          <w:p w14:paraId="4056B0EF" w14:textId="77777777" w:rsidR="00A955CF" w:rsidRPr="004E30A9" w:rsidRDefault="00A955CF" w:rsidP="003E5A33">
            <w:pPr>
              <w:autoSpaceDE w:val="0"/>
              <w:autoSpaceDN w:val="0"/>
              <w:adjustRightInd w:val="0"/>
              <w:spacing w:after="0" w:line="240" w:lineRule="auto"/>
              <w:rPr>
                <w:rFonts w:ascii="Times New Roman" w:hAnsi="Times New Roman" w:cs="Times New Roman"/>
                <w:b/>
                <w:sz w:val="26"/>
                <w:szCs w:val="26"/>
              </w:rPr>
            </w:pPr>
            <w:r w:rsidRPr="004E30A9">
              <w:rPr>
                <w:rFonts w:ascii="Times New Roman" w:hAnsi="Times New Roman" w:cs="Times New Roman"/>
                <w:b/>
                <w:sz w:val="26"/>
                <w:szCs w:val="26"/>
              </w:rPr>
              <w:t xml:space="preserve">Nguồn vốn dự phòng từ khu vực công (Public backup funding) </w:t>
            </w:r>
          </w:p>
        </w:tc>
        <w:tc>
          <w:tcPr>
            <w:tcW w:w="1985" w:type="dxa"/>
          </w:tcPr>
          <w:p w14:paraId="58CE9EB5" w14:textId="77777777" w:rsidR="00A955CF" w:rsidRPr="004E30A9" w:rsidRDefault="00A955CF" w:rsidP="003E5A33">
            <w:pPr>
              <w:autoSpaceDE w:val="0"/>
              <w:autoSpaceDN w:val="0"/>
              <w:adjustRightInd w:val="0"/>
              <w:spacing w:after="0" w:line="240" w:lineRule="auto"/>
              <w:rPr>
                <w:rFonts w:ascii="Times New Roman" w:hAnsi="Times New Roman" w:cs="Times New Roman"/>
                <w:b/>
                <w:sz w:val="26"/>
                <w:szCs w:val="26"/>
              </w:rPr>
            </w:pPr>
            <w:r w:rsidRPr="004E30A9">
              <w:rPr>
                <w:rFonts w:ascii="Times New Roman" w:hAnsi="Times New Roman" w:cs="Times New Roman"/>
                <w:b/>
                <w:sz w:val="26"/>
                <w:szCs w:val="26"/>
              </w:rPr>
              <w:t>Vay (Private borrowing)</w:t>
            </w:r>
          </w:p>
        </w:tc>
      </w:tr>
      <w:tr w:rsidR="004D2F23" w:rsidRPr="00EB6ED7" w14:paraId="45FFEB5B" w14:textId="77777777" w:rsidTr="00700EF3">
        <w:trPr>
          <w:trHeight w:val="145"/>
        </w:trPr>
        <w:tc>
          <w:tcPr>
            <w:tcW w:w="1521" w:type="dxa"/>
          </w:tcPr>
          <w:p w14:paraId="11EBD473" w14:textId="77777777" w:rsidR="00ED57FE" w:rsidRPr="004E30A9" w:rsidRDefault="00ED57FE" w:rsidP="00ED57FE">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Bahamas (DIC-BS) </w:t>
            </w:r>
          </w:p>
        </w:tc>
        <w:tc>
          <w:tcPr>
            <w:tcW w:w="1193" w:type="dxa"/>
            <w:gridSpan w:val="2"/>
          </w:tcPr>
          <w:p w14:paraId="1F41FBDF"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58" w:type="dxa"/>
          </w:tcPr>
          <w:p w14:paraId="4168676A"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18" w:type="dxa"/>
          </w:tcPr>
          <w:p w14:paraId="5D541955"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8" w:type="dxa"/>
            <w:gridSpan w:val="2"/>
          </w:tcPr>
          <w:p w14:paraId="7E5CCB2F" w14:textId="77777777" w:rsidR="00ED57FE" w:rsidRPr="004E30A9" w:rsidRDefault="00ED57FE" w:rsidP="00ED57FE">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358" w:type="dxa"/>
          </w:tcPr>
          <w:p w14:paraId="48EBCD33"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2022" w:type="dxa"/>
            <w:gridSpan w:val="2"/>
          </w:tcPr>
          <w:p w14:paraId="192BF26C"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6A553632" w14:textId="77777777" w:rsidTr="00700EF3">
        <w:trPr>
          <w:trHeight w:val="158"/>
        </w:trPr>
        <w:tc>
          <w:tcPr>
            <w:tcW w:w="1521" w:type="dxa"/>
          </w:tcPr>
          <w:p w14:paraId="05F4DEE6" w14:textId="77777777" w:rsidR="00ED57FE" w:rsidRPr="004E30A9" w:rsidRDefault="00ED57FE" w:rsidP="00ED57FE">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Brazil (FGC) </w:t>
            </w:r>
          </w:p>
        </w:tc>
        <w:tc>
          <w:tcPr>
            <w:tcW w:w="1193" w:type="dxa"/>
            <w:gridSpan w:val="2"/>
          </w:tcPr>
          <w:p w14:paraId="1E17D30E"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58" w:type="dxa"/>
          </w:tcPr>
          <w:p w14:paraId="13088E17"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18" w:type="dxa"/>
          </w:tcPr>
          <w:p w14:paraId="4A3FBF34"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8" w:type="dxa"/>
            <w:gridSpan w:val="2"/>
          </w:tcPr>
          <w:p w14:paraId="0A97063C"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58" w:type="dxa"/>
          </w:tcPr>
          <w:p w14:paraId="5ED6E531"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2022" w:type="dxa"/>
            <w:gridSpan w:val="2"/>
          </w:tcPr>
          <w:p w14:paraId="752367E2"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6D1CC81B" w14:textId="77777777" w:rsidTr="00700EF3">
        <w:trPr>
          <w:trHeight w:val="145"/>
        </w:trPr>
        <w:tc>
          <w:tcPr>
            <w:tcW w:w="1521" w:type="dxa"/>
          </w:tcPr>
          <w:p w14:paraId="620D07FC" w14:textId="77777777" w:rsidR="00ED57FE" w:rsidRPr="004E30A9" w:rsidRDefault="00ED57FE" w:rsidP="00ED57FE">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Canada (CDIC)*** </w:t>
            </w:r>
          </w:p>
        </w:tc>
        <w:tc>
          <w:tcPr>
            <w:tcW w:w="1193" w:type="dxa"/>
            <w:gridSpan w:val="2"/>
          </w:tcPr>
          <w:p w14:paraId="28F83700"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58" w:type="dxa"/>
          </w:tcPr>
          <w:p w14:paraId="5562B66B"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18" w:type="dxa"/>
          </w:tcPr>
          <w:p w14:paraId="46FD0249"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8" w:type="dxa"/>
            <w:gridSpan w:val="2"/>
          </w:tcPr>
          <w:p w14:paraId="734D7512"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58" w:type="dxa"/>
          </w:tcPr>
          <w:p w14:paraId="7D912979"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2022" w:type="dxa"/>
            <w:gridSpan w:val="2"/>
          </w:tcPr>
          <w:p w14:paraId="44F1036A"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5D4D71ED" w14:textId="77777777" w:rsidTr="00700EF3">
        <w:trPr>
          <w:trHeight w:val="157"/>
        </w:trPr>
        <w:tc>
          <w:tcPr>
            <w:tcW w:w="1521" w:type="dxa"/>
          </w:tcPr>
          <w:p w14:paraId="0435A268" w14:textId="77777777" w:rsidR="00ED57FE" w:rsidRPr="004E30A9" w:rsidRDefault="00ED57FE" w:rsidP="00ED57FE">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Colombia (Fogafín) </w:t>
            </w:r>
          </w:p>
        </w:tc>
        <w:tc>
          <w:tcPr>
            <w:tcW w:w="1193" w:type="dxa"/>
            <w:gridSpan w:val="2"/>
          </w:tcPr>
          <w:p w14:paraId="18A42728"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58" w:type="dxa"/>
          </w:tcPr>
          <w:p w14:paraId="6C7EE5EC"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18" w:type="dxa"/>
          </w:tcPr>
          <w:p w14:paraId="5B477802"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8" w:type="dxa"/>
            <w:gridSpan w:val="2"/>
          </w:tcPr>
          <w:p w14:paraId="5FD3C682"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58" w:type="dxa"/>
          </w:tcPr>
          <w:p w14:paraId="5A7344A3"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2022" w:type="dxa"/>
            <w:gridSpan w:val="2"/>
          </w:tcPr>
          <w:p w14:paraId="131D1223"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0EE13D04" w14:textId="77777777" w:rsidTr="00700EF3">
        <w:trPr>
          <w:trHeight w:val="145"/>
        </w:trPr>
        <w:tc>
          <w:tcPr>
            <w:tcW w:w="1521" w:type="dxa"/>
          </w:tcPr>
          <w:p w14:paraId="7F186730" w14:textId="77777777" w:rsidR="00ED57FE" w:rsidRPr="004E30A9" w:rsidRDefault="00ED57FE" w:rsidP="00ED57FE">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Germany (BVR) </w:t>
            </w:r>
          </w:p>
        </w:tc>
        <w:tc>
          <w:tcPr>
            <w:tcW w:w="1193" w:type="dxa"/>
            <w:gridSpan w:val="2"/>
          </w:tcPr>
          <w:p w14:paraId="663B9153"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58" w:type="dxa"/>
          </w:tcPr>
          <w:p w14:paraId="164304C8"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18" w:type="dxa"/>
          </w:tcPr>
          <w:p w14:paraId="241B2827"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8" w:type="dxa"/>
            <w:gridSpan w:val="2"/>
          </w:tcPr>
          <w:p w14:paraId="40E01C30"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58" w:type="dxa"/>
          </w:tcPr>
          <w:p w14:paraId="70A623DE"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2022" w:type="dxa"/>
            <w:gridSpan w:val="2"/>
          </w:tcPr>
          <w:p w14:paraId="30BAF1F6"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22407813" w14:textId="77777777" w:rsidTr="00700EF3">
        <w:trPr>
          <w:trHeight w:val="157"/>
        </w:trPr>
        <w:tc>
          <w:tcPr>
            <w:tcW w:w="1521" w:type="dxa"/>
          </w:tcPr>
          <w:p w14:paraId="71EE8357" w14:textId="77777777" w:rsidR="00ED57FE" w:rsidRPr="004E30A9" w:rsidRDefault="00ED57FE" w:rsidP="00ED57FE">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Germany (DPFB) </w:t>
            </w:r>
          </w:p>
        </w:tc>
        <w:tc>
          <w:tcPr>
            <w:tcW w:w="1193" w:type="dxa"/>
            <w:gridSpan w:val="2"/>
          </w:tcPr>
          <w:p w14:paraId="663185FB"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58" w:type="dxa"/>
          </w:tcPr>
          <w:p w14:paraId="14EDE53F"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18" w:type="dxa"/>
          </w:tcPr>
          <w:p w14:paraId="05806D6B"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8" w:type="dxa"/>
            <w:gridSpan w:val="2"/>
          </w:tcPr>
          <w:p w14:paraId="2AF258F2" w14:textId="77777777" w:rsidR="00ED57FE" w:rsidRPr="004E30A9" w:rsidRDefault="00ED57FE" w:rsidP="00ED57FE">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358" w:type="dxa"/>
          </w:tcPr>
          <w:p w14:paraId="2E4B02CC"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2022" w:type="dxa"/>
            <w:gridSpan w:val="2"/>
          </w:tcPr>
          <w:p w14:paraId="0EB71F82"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42EE7371" w14:textId="77777777" w:rsidTr="00700EF3">
        <w:trPr>
          <w:trHeight w:val="145"/>
        </w:trPr>
        <w:tc>
          <w:tcPr>
            <w:tcW w:w="1521" w:type="dxa"/>
          </w:tcPr>
          <w:p w14:paraId="1E4B2D12" w14:textId="77777777" w:rsidR="00ED57FE" w:rsidRPr="004E30A9" w:rsidRDefault="00ED57FE" w:rsidP="00ED57FE">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Indonesia (IDIC) </w:t>
            </w:r>
          </w:p>
        </w:tc>
        <w:tc>
          <w:tcPr>
            <w:tcW w:w="1193" w:type="dxa"/>
            <w:gridSpan w:val="2"/>
          </w:tcPr>
          <w:p w14:paraId="450CDFE9"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58" w:type="dxa"/>
          </w:tcPr>
          <w:p w14:paraId="19F6B55B"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18" w:type="dxa"/>
          </w:tcPr>
          <w:p w14:paraId="28981104"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8" w:type="dxa"/>
            <w:gridSpan w:val="2"/>
          </w:tcPr>
          <w:p w14:paraId="6CD19FB1"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58" w:type="dxa"/>
          </w:tcPr>
          <w:p w14:paraId="40E82FF4"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2022" w:type="dxa"/>
            <w:gridSpan w:val="2"/>
          </w:tcPr>
          <w:p w14:paraId="268477A3"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1DE154BB" w14:textId="77777777" w:rsidTr="00700EF3">
        <w:trPr>
          <w:trHeight w:val="157"/>
        </w:trPr>
        <w:tc>
          <w:tcPr>
            <w:tcW w:w="1521" w:type="dxa"/>
          </w:tcPr>
          <w:p w14:paraId="50CF9DFA" w14:textId="77777777" w:rsidR="00ED57FE" w:rsidRPr="004E30A9" w:rsidRDefault="00ED57FE" w:rsidP="00ED57FE">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Italy (FITD) </w:t>
            </w:r>
          </w:p>
        </w:tc>
        <w:tc>
          <w:tcPr>
            <w:tcW w:w="1193" w:type="dxa"/>
            <w:gridSpan w:val="2"/>
          </w:tcPr>
          <w:p w14:paraId="47EC5730"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58" w:type="dxa"/>
          </w:tcPr>
          <w:p w14:paraId="50D99E55"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18" w:type="dxa"/>
          </w:tcPr>
          <w:p w14:paraId="479C112C"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8" w:type="dxa"/>
            <w:gridSpan w:val="2"/>
          </w:tcPr>
          <w:p w14:paraId="494BAD36"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58" w:type="dxa"/>
          </w:tcPr>
          <w:p w14:paraId="7740BD7E"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2022" w:type="dxa"/>
            <w:gridSpan w:val="2"/>
          </w:tcPr>
          <w:p w14:paraId="09B2728E"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2E0951D0" w14:textId="77777777" w:rsidTr="00700EF3">
        <w:trPr>
          <w:trHeight w:val="146"/>
        </w:trPr>
        <w:tc>
          <w:tcPr>
            <w:tcW w:w="1521" w:type="dxa"/>
          </w:tcPr>
          <w:p w14:paraId="687C44AD" w14:textId="77777777" w:rsidR="00ED57FE" w:rsidRPr="004E30A9" w:rsidRDefault="00ED57FE" w:rsidP="00ED57FE">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Korea (KDIC) </w:t>
            </w:r>
          </w:p>
        </w:tc>
        <w:tc>
          <w:tcPr>
            <w:tcW w:w="1193" w:type="dxa"/>
            <w:gridSpan w:val="2"/>
          </w:tcPr>
          <w:p w14:paraId="02638A47"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58" w:type="dxa"/>
          </w:tcPr>
          <w:p w14:paraId="3FBC68B6"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18" w:type="dxa"/>
          </w:tcPr>
          <w:p w14:paraId="3A09DA53"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8" w:type="dxa"/>
            <w:gridSpan w:val="2"/>
          </w:tcPr>
          <w:p w14:paraId="27096238"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58" w:type="dxa"/>
          </w:tcPr>
          <w:p w14:paraId="2E09BD6F"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2022" w:type="dxa"/>
            <w:gridSpan w:val="2"/>
          </w:tcPr>
          <w:p w14:paraId="46B522EA"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67CF4B4A" w14:textId="77777777" w:rsidTr="00700EF3">
        <w:trPr>
          <w:trHeight w:val="157"/>
        </w:trPr>
        <w:tc>
          <w:tcPr>
            <w:tcW w:w="1521" w:type="dxa"/>
          </w:tcPr>
          <w:p w14:paraId="36945422" w14:textId="77777777" w:rsidR="00ED57FE" w:rsidRPr="004E30A9" w:rsidRDefault="00ED57FE" w:rsidP="00ED57FE">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Mexico (IPAB) </w:t>
            </w:r>
          </w:p>
        </w:tc>
        <w:tc>
          <w:tcPr>
            <w:tcW w:w="1193" w:type="dxa"/>
            <w:gridSpan w:val="2"/>
          </w:tcPr>
          <w:p w14:paraId="736C5F56"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58" w:type="dxa"/>
          </w:tcPr>
          <w:p w14:paraId="1F924EEB"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18" w:type="dxa"/>
          </w:tcPr>
          <w:p w14:paraId="4AEA5DC5"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8" w:type="dxa"/>
            <w:gridSpan w:val="2"/>
          </w:tcPr>
          <w:p w14:paraId="1C1C2496"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58" w:type="dxa"/>
          </w:tcPr>
          <w:p w14:paraId="7EB4560C"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2022" w:type="dxa"/>
            <w:gridSpan w:val="2"/>
          </w:tcPr>
          <w:p w14:paraId="6755F61B"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6C31EF33" w14:textId="77777777" w:rsidTr="00700EF3">
        <w:trPr>
          <w:trHeight w:val="145"/>
        </w:trPr>
        <w:tc>
          <w:tcPr>
            <w:tcW w:w="1521" w:type="dxa"/>
          </w:tcPr>
          <w:p w14:paraId="16883BCA" w14:textId="77777777" w:rsidR="00ED57FE" w:rsidRPr="004E30A9" w:rsidRDefault="00ED57FE" w:rsidP="00ED57FE">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Morocco (FCGB) </w:t>
            </w:r>
          </w:p>
        </w:tc>
        <w:tc>
          <w:tcPr>
            <w:tcW w:w="1193" w:type="dxa"/>
            <w:gridSpan w:val="2"/>
          </w:tcPr>
          <w:p w14:paraId="036A6910"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58" w:type="dxa"/>
          </w:tcPr>
          <w:p w14:paraId="244D3287"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18" w:type="dxa"/>
          </w:tcPr>
          <w:p w14:paraId="409822DC"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8" w:type="dxa"/>
            <w:gridSpan w:val="2"/>
          </w:tcPr>
          <w:p w14:paraId="277E2625"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58" w:type="dxa"/>
          </w:tcPr>
          <w:p w14:paraId="2D8A1336"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2022" w:type="dxa"/>
            <w:gridSpan w:val="2"/>
          </w:tcPr>
          <w:p w14:paraId="250FDA2E"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19E6DCBE" w14:textId="77777777" w:rsidTr="00700EF3">
        <w:trPr>
          <w:trHeight w:val="157"/>
        </w:trPr>
        <w:tc>
          <w:tcPr>
            <w:tcW w:w="1521" w:type="dxa"/>
          </w:tcPr>
          <w:p w14:paraId="52B26539" w14:textId="77777777" w:rsidR="00ED57FE" w:rsidRPr="004E30A9" w:rsidRDefault="00ED57FE" w:rsidP="00ED57FE">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Nigeria (NDIC) </w:t>
            </w:r>
          </w:p>
        </w:tc>
        <w:tc>
          <w:tcPr>
            <w:tcW w:w="1193" w:type="dxa"/>
            <w:gridSpan w:val="2"/>
          </w:tcPr>
          <w:p w14:paraId="20E2128D"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58" w:type="dxa"/>
          </w:tcPr>
          <w:p w14:paraId="1BEE72B5"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18" w:type="dxa"/>
          </w:tcPr>
          <w:p w14:paraId="25B3482C"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8" w:type="dxa"/>
            <w:gridSpan w:val="2"/>
          </w:tcPr>
          <w:p w14:paraId="69E47F39"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58" w:type="dxa"/>
          </w:tcPr>
          <w:p w14:paraId="7DF1933B"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2022" w:type="dxa"/>
            <w:gridSpan w:val="2"/>
          </w:tcPr>
          <w:p w14:paraId="37AA435B"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750A1B60" w14:textId="77777777" w:rsidTr="00700EF3">
        <w:trPr>
          <w:trHeight w:val="145"/>
        </w:trPr>
        <w:tc>
          <w:tcPr>
            <w:tcW w:w="1521" w:type="dxa"/>
          </w:tcPr>
          <w:p w14:paraId="48AF20F7" w14:textId="77777777" w:rsidR="00ED57FE" w:rsidRPr="004E30A9" w:rsidRDefault="00ED57FE" w:rsidP="00ED57FE">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Norway (NBGF) </w:t>
            </w:r>
          </w:p>
        </w:tc>
        <w:tc>
          <w:tcPr>
            <w:tcW w:w="1193" w:type="dxa"/>
            <w:gridSpan w:val="2"/>
          </w:tcPr>
          <w:p w14:paraId="01908990"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58" w:type="dxa"/>
          </w:tcPr>
          <w:p w14:paraId="20FA0705"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18" w:type="dxa"/>
          </w:tcPr>
          <w:p w14:paraId="32EC1D04"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8" w:type="dxa"/>
            <w:gridSpan w:val="2"/>
          </w:tcPr>
          <w:p w14:paraId="2721EB66"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58" w:type="dxa"/>
          </w:tcPr>
          <w:p w14:paraId="5B506814"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2022" w:type="dxa"/>
            <w:gridSpan w:val="2"/>
          </w:tcPr>
          <w:p w14:paraId="36B5BC6B"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5A821D0B" w14:textId="77777777" w:rsidTr="00700EF3">
        <w:trPr>
          <w:trHeight w:val="158"/>
        </w:trPr>
        <w:tc>
          <w:tcPr>
            <w:tcW w:w="1521" w:type="dxa"/>
          </w:tcPr>
          <w:p w14:paraId="1FC92F28" w14:textId="77777777" w:rsidR="00ED57FE" w:rsidRPr="004E30A9" w:rsidRDefault="00ED57FE" w:rsidP="00ED57FE">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Spain (FGD) </w:t>
            </w:r>
          </w:p>
        </w:tc>
        <w:tc>
          <w:tcPr>
            <w:tcW w:w="1193" w:type="dxa"/>
            <w:gridSpan w:val="2"/>
          </w:tcPr>
          <w:p w14:paraId="0422DFFC"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58" w:type="dxa"/>
          </w:tcPr>
          <w:p w14:paraId="48F780D7"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18" w:type="dxa"/>
          </w:tcPr>
          <w:p w14:paraId="5A169E15"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8" w:type="dxa"/>
            <w:gridSpan w:val="2"/>
          </w:tcPr>
          <w:p w14:paraId="30BB6DA3"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58" w:type="dxa"/>
          </w:tcPr>
          <w:p w14:paraId="2169D02C"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2022" w:type="dxa"/>
            <w:gridSpan w:val="2"/>
          </w:tcPr>
          <w:p w14:paraId="7363E62C"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6F977246" w14:textId="77777777" w:rsidTr="00700EF3">
        <w:trPr>
          <w:trHeight w:val="145"/>
        </w:trPr>
        <w:tc>
          <w:tcPr>
            <w:tcW w:w="1521" w:type="dxa"/>
          </w:tcPr>
          <w:p w14:paraId="4CA120F6" w14:textId="77777777" w:rsidR="00ED57FE" w:rsidRPr="004E30A9" w:rsidRDefault="00ED57FE" w:rsidP="00ED57FE">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Turkey (SDIF) </w:t>
            </w:r>
          </w:p>
        </w:tc>
        <w:tc>
          <w:tcPr>
            <w:tcW w:w="1193" w:type="dxa"/>
            <w:gridSpan w:val="2"/>
          </w:tcPr>
          <w:p w14:paraId="5C7A61C5"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58" w:type="dxa"/>
          </w:tcPr>
          <w:p w14:paraId="5E05ABB0"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18" w:type="dxa"/>
          </w:tcPr>
          <w:p w14:paraId="1A987913"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8" w:type="dxa"/>
            <w:gridSpan w:val="2"/>
          </w:tcPr>
          <w:p w14:paraId="66698439"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58" w:type="dxa"/>
          </w:tcPr>
          <w:p w14:paraId="790272FE"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2022" w:type="dxa"/>
            <w:gridSpan w:val="2"/>
          </w:tcPr>
          <w:p w14:paraId="6E0276E0"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4C158E4D" w14:textId="77777777" w:rsidTr="00700EF3">
        <w:trPr>
          <w:trHeight w:val="158"/>
        </w:trPr>
        <w:tc>
          <w:tcPr>
            <w:tcW w:w="1521" w:type="dxa"/>
          </w:tcPr>
          <w:p w14:paraId="2007CDDC" w14:textId="77777777" w:rsidR="00ED57FE" w:rsidRPr="004E30A9" w:rsidRDefault="00ED57FE" w:rsidP="00ED57FE">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Uruguay (COPAB) </w:t>
            </w:r>
          </w:p>
        </w:tc>
        <w:tc>
          <w:tcPr>
            <w:tcW w:w="1193" w:type="dxa"/>
            <w:gridSpan w:val="2"/>
          </w:tcPr>
          <w:p w14:paraId="66713016"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58" w:type="dxa"/>
          </w:tcPr>
          <w:p w14:paraId="1F4E9A8E"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18" w:type="dxa"/>
          </w:tcPr>
          <w:p w14:paraId="258BF5E8"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8" w:type="dxa"/>
            <w:gridSpan w:val="2"/>
          </w:tcPr>
          <w:p w14:paraId="0565813A"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58" w:type="dxa"/>
          </w:tcPr>
          <w:p w14:paraId="221B4D89"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2022" w:type="dxa"/>
            <w:gridSpan w:val="2"/>
          </w:tcPr>
          <w:p w14:paraId="0C7A54D8" w14:textId="77777777" w:rsidR="00ED57FE" w:rsidRPr="004E30A9" w:rsidRDefault="00ED57FE" w:rsidP="00ED57FE">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2BFAC109" w14:textId="77777777" w:rsidTr="00351B31">
        <w:trPr>
          <w:trHeight w:val="129"/>
        </w:trPr>
        <w:tc>
          <w:tcPr>
            <w:tcW w:w="10168" w:type="dxa"/>
            <w:gridSpan w:val="10"/>
          </w:tcPr>
          <w:p w14:paraId="18827C12" w14:textId="20BA6FAD" w:rsidR="00ED57FE" w:rsidRPr="004E30A9" w:rsidRDefault="00A955CF" w:rsidP="00351B31">
            <w:pPr>
              <w:autoSpaceDE w:val="0"/>
              <w:autoSpaceDN w:val="0"/>
              <w:adjustRightInd w:val="0"/>
              <w:spacing w:after="0" w:line="240" w:lineRule="auto"/>
              <w:jc w:val="both"/>
              <w:rPr>
                <w:rFonts w:ascii="Times New Roman" w:hAnsi="Times New Roman" w:cs="Times New Roman"/>
                <w:sz w:val="26"/>
                <w:szCs w:val="26"/>
              </w:rPr>
            </w:pPr>
            <w:r w:rsidRPr="004E30A9">
              <w:rPr>
                <w:rFonts w:ascii="Times New Roman" w:hAnsi="Times New Roman" w:cs="Times New Roman"/>
                <w:sz w:val="26"/>
                <w:szCs w:val="26"/>
              </w:rPr>
              <w:t>**</w:t>
            </w:r>
            <w:r w:rsidR="003E5A33" w:rsidRPr="004E30A9">
              <w:rPr>
                <w:rFonts w:ascii="Times New Roman" w:hAnsi="Times New Roman" w:cs="Times New Roman"/>
                <w:sz w:val="26"/>
                <w:szCs w:val="26"/>
              </w:rPr>
              <w:t>Nguồn tài trợ dự phòng từ kh</w:t>
            </w:r>
            <w:r w:rsidR="00B84375" w:rsidRPr="004E30A9">
              <w:rPr>
                <w:rFonts w:ascii="Times New Roman" w:hAnsi="Times New Roman" w:cs="Times New Roman"/>
                <w:sz w:val="26"/>
                <w:szCs w:val="26"/>
              </w:rPr>
              <w:t>u</w:t>
            </w:r>
            <w:r w:rsidR="003E5A33" w:rsidRPr="004E30A9">
              <w:rPr>
                <w:rFonts w:ascii="Times New Roman" w:hAnsi="Times New Roman" w:cs="Times New Roman"/>
                <w:sz w:val="26"/>
                <w:szCs w:val="26"/>
              </w:rPr>
              <w:t xml:space="preserve"> vực công là các nguồn như: nguồn tài trợ dự phòng của chính phủ (bao gồm các khoản vay); các khoản vay từ ngân hàng trung ương; vay từ ngân hàng thương </w:t>
            </w:r>
            <w:r w:rsidR="003E5A33" w:rsidRPr="004E30A9">
              <w:rPr>
                <w:rFonts w:ascii="Times New Roman" w:hAnsi="Times New Roman" w:cs="Times New Roman"/>
                <w:sz w:val="26"/>
                <w:szCs w:val="26"/>
              </w:rPr>
              <w:lastRenderedPageBreak/>
              <w:t xml:space="preserve">mại, bao gồm phát hành trái phiếu, các khoản vay từ các ngân hàng thương mại hoặc việc thu thêm phí bảo hiểm bất thường từ các thành viên. Đối với năm DIS (BDIC (Barbados), FGC (Brazil), DPFB (Đức), FITD (Ý), FCGB (Ma-rốc)), việc vay NHTM được giới hạn ở việc thu phí bảo hiểm bất thường. </w:t>
            </w:r>
          </w:p>
          <w:p w14:paraId="75A325A2" w14:textId="77777777" w:rsidR="00A955CF" w:rsidRPr="004E30A9" w:rsidRDefault="00A955CF" w:rsidP="00351B31">
            <w:pPr>
              <w:autoSpaceDE w:val="0"/>
              <w:autoSpaceDN w:val="0"/>
              <w:adjustRightInd w:val="0"/>
              <w:spacing w:after="0" w:line="240" w:lineRule="auto"/>
              <w:jc w:val="both"/>
              <w:rPr>
                <w:rFonts w:ascii="Times New Roman" w:hAnsi="Times New Roman" w:cs="Times New Roman"/>
                <w:sz w:val="26"/>
                <w:szCs w:val="26"/>
              </w:rPr>
            </w:pPr>
            <w:r w:rsidRPr="004E30A9">
              <w:rPr>
                <w:rFonts w:ascii="Times New Roman" w:hAnsi="Times New Roman" w:cs="Times New Roman"/>
                <w:sz w:val="26"/>
                <w:szCs w:val="26"/>
              </w:rPr>
              <w:t xml:space="preserve">*** CDIC phải tuân theo mục tiêu giảm thiểu tổn thất theo luật định. Tuy nhiên, không có giới hạn pháp lý nào về số tiền hỗ trợ vốn mà CDIC có thể cung cấp. Mặc dù các nguồn lực của CDID là hữu hạn và CDID chỉ được vay thêm theo giới hạn luật quy định, quốc hội có thể quyết định tăng các giới hạn này lên. </w:t>
            </w:r>
          </w:p>
          <w:p w14:paraId="720103C6" w14:textId="05DC8315" w:rsidR="00A955CF" w:rsidRPr="004E30A9" w:rsidRDefault="00A955CF" w:rsidP="00351B31">
            <w:pPr>
              <w:autoSpaceDE w:val="0"/>
              <w:autoSpaceDN w:val="0"/>
              <w:adjustRightInd w:val="0"/>
              <w:spacing w:after="0" w:line="240" w:lineRule="auto"/>
              <w:jc w:val="both"/>
              <w:rPr>
                <w:rFonts w:ascii="Segoe UI" w:hAnsi="Segoe UI" w:cs="Segoe UI"/>
                <w:sz w:val="26"/>
                <w:szCs w:val="26"/>
              </w:rPr>
            </w:pPr>
            <w:r w:rsidRPr="004E30A9">
              <w:rPr>
                <w:rFonts w:ascii="Times New Roman" w:hAnsi="Times New Roman" w:cs="Times New Roman"/>
                <w:sz w:val="26"/>
                <w:szCs w:val="26"/>
              </w:rPr>
              <w:t>*** Các tổ chức BHTG sau đây không cung cấp vốn cho các ngân hàng thành viên, dù để ngăn ngừa mất khả năng thanh toán hay trong tình trạng mất khả năng thanh toán, hoặc cả hai: FCS (Úc), BDIC (Barbados), COSEDE (Ecuador), DGF (Phần Lan), FOSEDE (Honduras), JDIC (Jamaica), DICJ (Nhật Bản), FGDSB (Moldova), DICoM (Mông Cổ), BFG (Ba Lan), ASV (Nga), AOD (Serbia), SDIC (Singapore), SLDIS (Sri Lanka), FSCS (Vương quốc Anh) và FDIC (Hoa Kỳ)</w:t>
            </w:r>
          </w:p>
        </w:tc>
      </w:tr>
    </w:tbl>
    <w:p w14:paraId="4DCC44B8" w14:textId="77777777" w:rsidR="00ED57FE" w:rsidRPr="004E30A9" w:rsidRDefault="00ED57FE" w:rsidP="003E5A33">
      <w:pPr>
        <w:jc w:val="both"/>
        <w:rPr>
          <w:rFonts w:ascii="Times New Roman" w:hAnsi="Times New Roman" w:cs="Times New Roman"/>
          <w:b/>
          <w:sz w:val="26"/>
          <w:szCs w:val="26"/>
        </w:rPr>
      </w:pPr>
    </w:p>
    <w:tbl>
      <w:tblPr>
        <w:tblW w:w="10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8"/>
        <w:gridCol w:w="1448"/>
        <w:gridCol w:w="1543"/>
        <w:gridCol w:w="59"/>
        <w:gridCol w:w="1417"/>
        <w:gridCol w:w="1325"/>
        <w:gridCol w:w="36"/>
        <w:gridCol w:w="1412"/>
        <w:gridCol w:w="1621"/>
      </w:tblGrid>
      <w:tr w:rsidR="004D2F23" w:rsidRPr="00EB6ED7" w14:paraId="19793F7B" w14:textId="77777777" w:rsidTr="004E30A9">
        <w:trPr>
          <w:trHeight w:val="186"/>
        </w:trPr>
        <w:tc>
          <w:tcPr>
            <w:tcW w:w="10309" w:type="dxa"/>
            <w:gridSpan w:val="9"/>
          </w:tcPr>
          <w:p w14:paraId="30752781" w14:textId="77777777" w:rsidR="0063440A" w:rsidRPr="004E30A9" w:rsidRDefault="001943B5" w:rsidP="0063440A">
            <w:pPr>
              <w:autoSpaceDE w:val="0"/>
              <w:autoSpaceDN w:val="0"/>
              <w:adjustRightInd w:val="0"/>
              <w:spacing w:after="0" w:line="240" w:lineRule="auto"/>
              <w:jc w:val="center"/>
              <w:rPr>
                <w:rFonts w:ascii="Times New Roman" w:hAnsi="Times New Roman" w:cs="Times New Roman"/>
                <w:b/>
                <w:sz w:val="26"/>
                <w:szCs w:val="26"/>
              </w:rPr>
            </w:pPr>
            <w:r w:rsidRPr="004E30A9">
              <w:rPr>
                <w:rFonts w:ascii="Times New Roman" w:hAnsi="Times New Roman" w:cs="Times New Roman"/>
                <w:b/>
                <w:sz w:val="26"/>
                <w:szCs w:val="26"/>
              </w:rPr>
              <w:t>HỖ TRỢ THANH KHOẢN</w:t>
            </w:r>
          </w:p>
        </w:tc>
      </w:tr>
      <w:tr w:rsidR="004D2F23" w:rsidRPr="00EB6ED7" w14:paraId="20178381" w14:textId="77777777" w:rsidTr="004E30A9">
        <w:trPr>
          <w:trHeight w:val="255"/>
        </w:trPr>
        <w:tc>
          <w:tcPr>
            <w:tcW w:w="4439" w:type="dxa"/>
            <w:gridSpan w:val="3"/>
          </w:tcPr>
          <w:p w14:paraId="5B850D53" w14:textId="77777777" w:rsidR="0063440A" w:rsidRPr="004E30A9" w:rsidRDefault="0063440A" w:rsidP="0063440A">
            <w:pPr>
              <w:autoSpaceDE w:val="0"/>
              <w:autoSpaceDN w:val="0"/>
              <w:adjustRightInd w:val="0"/>
              <w:spacing w:after="0" w:line="240" w:lineRule="auto"/>
              <w:rPr>
                <w:rFonts w:ascii="Times New Roman" w:hAnsi="Times New Roman" w:cs="Times New Roman"/>
                <w:b/>
                <w:sz w:val="26"/>
                <w:szCs w:val="26"/>
              </w:rPr>
            </w:pPr>
            <w:r w:rsidRPr="004E30A9">
              <w:rPr>
                <w:rFonts w:ascii="Times New Roman" w:hAnsi="Times New Roman" w:cs="Times New Roman"/>
                <w:b/>
                <w:sz w:val="26"/>
                <w:szCs w:val="26"/>
              </w:rPr>
              <w:t xml:space="preserve">                                       Hỗ trợ về thanh khoản </w:t>
            </w:r>
          </w:p>
        </w:tc>
        <w:tc>
          <w:tcPr>
            <w:tcW w:w="2837" w:type="dxa"/>
            <w:gridSpan w:val="4"/>
          </w:tcPr>
          <w:p w14:paraId="1A5D1979" w14:textId="77777777" w:rsidR="0063440A" w:rsidRPr="004E30A9" w:rsidRDefault="0063440A" w:rsidP="0063440A">
            <w:pPr>
              <w:autoSpaceDE w:val="0"/>
              <w:autoSpaceDN w:val="0"/>
              <w:adjustRightInd w:val="0"/>
              <w:spacing w:after="0" w:line="240" w:lineRule="auto"/>
              <w:rPr>
                <w:rFonts w:ascii="Times New Roman" w:hAnsi="Times New Roman" w:cs="Times New Roman"/>
                <w:b/>
                <w:sz w:val="26"/>
                <w:szCs w:val="26"/>
              </w:rPr>
            </w:pPr>
            <w:r w:rsidRPr="004E30A9">
              <w:rPr>
                <w:rFonts w:ascii="Times New Roman" w:hAnsi="Times New Roman" w:cs="Times New Roman"/>
                <w:b/>
                <w:sz w:val="26"/>
                <w:szCs w:val="26"/>
              </w:rPr>
              <w:t xml:space="preserve">Safeguards* </w:t>
            </w:r>
          </w:p>
        </w:tc>
        <w:tc>
          <w:tcPr>
            <w:tcW w:w="3033" w:type="dxa"/>
            <w:gridSpan w:val="2"/>
          </w:tcPr>
          <w:p w14:paraId="00A6F527" w14:textId="77777777" w:rsidR="0063440A" w:rsidRPr="004E30A9" w:rsidRDefault="0063440A" w:rsidP="0063440A">
            <w:pPr>
              <w:autoSpaceDE w:val="0"/>
              <w:autoSpaceDN w:val="0"/>
              <w:adjustRightInd w:val="0"/>
              <w:spacing w:after="0" w:line="240" w:lineRule="auto"/>
              <w:rPr>
                <w:rFonts w:ascii="Times New Roman" w:hAnsi="Times New Roman" w:cs="Times New Roman"/>
                <w:b/>
                <w:sz w:val="26"/>
                <w:szCs w:val="26"/>
              </w:rPr>
            </w:pPr>
            <w:r w:rsidRPr="004E30A9">
              <w:rPr>
                <w:rFonts w:ascii="Times New Roman" w:hAnsi="Times New Roman" w:cs="Times New Roman"/>
                <w:b/>
                <w:sz w:val="26"/>
                <w:szCs w:val="26"/>
              </w:rPr>
              <w:t>Các nguồn vốn khác</w:t>
            </w:r>
          </w:p>
        </w:tc>
      </w:tr>
      <w:tr w:rsidR="004D2F23" w:rsidRPr="00EB6ED7" w14:paraId="0848EE63" w14:textId="77777777" w:rsidTr="004E30A9">
        <w:trPr>
          <w:trHeight w:val="368"/>
        </w:trPr>
        <w:tc>
          <w:tcPr>
            <w:tcW w:w="1448" w:type="dxa"/>
          </w:tcPr>
          <w:p w14:paraId="411CB764" w14:textId="77777777" w:rsidR="0063440A" w:rsidRPr="004E30A9" w:rsidRDefault="0063440A" w:rsidP="0063440A">
            <w:pPr>
              <w:autoSpaceDE w:val="0"/>
              <w:autoSpaceDN w:val="0"/>
              <w:adjustRightInd w:val="0"/>
              <w:spacing w:after="0" w:line="240" w:lineRule="auto"/>
              <w:rPr>
                <w:rFonts w:ascii="Times New Roman" w:hAnsi="Times New Roman" w:cs="Times New Roman"/>
                <w:b/>
                <w:sz w:val="26"/>
                <w:szCs w:val="26"/>
              </w:rPr>
            </w:pPr>
            <w:r w:rsidRPr="004E30A9">
              <w:rPr>
                <w:rFonts w:ascii="Times New Roman" w:hAnsi="Times New Roman" w:cs="Times New Roman"/>
                <w:b/>
                <w:sz w:val="26"/>
                <w:szCs w:val="26"/>
              </w:rPr>
              <w:t>Quốc gia (tổ chức BHTG)</w:t>
            </w:r>
          </w:p>
        </w:tc>
        <w:tc>
          <w:tcPr>
            <w:tcW w:w="1448" w:type="dxa"/>
          </w:tcPr>
          <w:p w14:paraId="05B46045" w14:textId="77777777" w:rsidR="0063440A" w:rsidRPr="004E30A9" w:rsidRDefault="0063440A" w:rsidP="0063440A">
            <w:pPr>
              <w:autoSpaceDE w:val="0"/>
              <w:autoSpaceDN w:val="0"/>
              <w:adjustRightInd w:val="0"/>
              <w:spacing w:after="0" w:line="240" w:lineRule="auto"/>
              <w:rPr>
                <w:rFonts w:ascii="Times New Roman" w:hAnsi="Times New Roman" w:cs="Times New Roman"/>
                <w:b/>
                <w:sz w:val="26"/>
                <w:szCs w:val="26"/>
              </w:rPr>
            </w:pPr>
            <w:r w:rsidRPr="004E30A9">
              <w:rPr>
                <w:rFonts w:ascii="Times New Roman" w:hAnsi="Times New Roman" w:cs="Times New Roman"/>
                <w:b/>
                <w:sz w:val="26"/>
                <w:szCs w:val="26"/>
              </w:rPr>
              <w:t xml:space="preserve">Ngoài phạm vi </w:t>
            </w:r>
          </w:p>
          <w:p w14:paraId="73DDE645" w14:textId="77777777" w:rsidR="0063440A" w:rsidRPr="004E30A9" w:rsidRDefault="0063440A" w:rsidP="0063440A">
            <w:pPr>
              <w:autoSpaceDE w:val="0"/>
              <w:autoSpaceDN w:val="0"/>
              <w:adjustRightInd w:val="0"/>
              <w:spacing w:after="0" w:line="240" w:lineRule="auto"/>
              <w:rPr>
                <w:rFonts w:ascii="Times New Roman" w:hAnsi="Times New Roman" w:cs="Times New Roman"/>
                <w:b/>
                <w:sz w:val="26"/>
                <w:szCs w:val="26"/>
              </w:rPr>
            </w:pPr>
            <w:r w:rsidRPr="004E30A9">
              <w:rPr>
                <w:rFonts w:ascii="Times New Roman" w:hAnsi="Times New Roman" w:cs="Times New Roman"/>
                <w:b/>
                <w:sz w:val="26"/>
                <w:szCs w:val="26"/>
              </w:rPr>
              <w:t xml:space="preserve">                                 tái cơ cấu  </w:t>
            </w:r>
          </w:p>
        </w:tc>
        <w:tc>
          <w:tcPr>
            <w:tcW w:w="1602" w:type="dxa"/>
            <w:gridSpan w:val="2"/>
          </w:tcPr>
          <w:p w14:paraId="22D7CF8B" w14:textId="77777777" w:rsidR="0063440A" w:rsidRPr="004E30A9" w:rsidRDefault="0063440A" w:rsidP="0063440A">
            <w:pPr>
              <w:autoSpaceDE w:val="0"/>
              <w:autoSpaceDN w:val="0"/>
              <w:adjustRightInd w:val="0"/>
              <w:spacing w:after="0" w:line="240" w:lineRule="auto"/>
              <w:rPr>
                <w:rFonts w:ascii="Times New Roman" w:hAnsi="Times New Roman" w:cs="Times New Roman"/>
                <w:b/>
                <w:sz w:val="26"/>
                <w:szCs w:val="26"/>
              </w:rPr>
            </w:pPr>
            <w:r w:rsidRPr="004E30A9">
              <w:rPr>
                <w:rFonts w:ascii="Times New Roman" w:hAnsi="Times New Roman" w:cs="Times New Roman"/>
                <w:b/>
                <w:sz w:val="26"/>
                <w:szCs w:val="26"/>
              </w:rPr>
              <w:t>Cho ngân hàng đang trong quá trình tái cơ cấu</w:t>
            </w:r>
          </w:p>
        </w:tc>
        <w:tc>
          <w:tcPr>
            <w:tcW w:w="1417" w:type="dxa"/>
          </w:tcPr>
          <w:p w14:paraId="4C41BF51" w14:textId="77777777" w:rsidR="0063440A" w:rsidRPr="004E30A9" w:rsidRDefault="0063440A" w:rsidP="0063440A">
            <w:pPr>
              <w:autoSpaceDE w:val="0"/>
              <w:autoSpaceDN w:val="0"/>
              <w:adjustRightInd w:val="0"/>
              <w:spacing w:after="0" w:line="240" w:lineRule="auto"/>
              <w:rPr>
                <w:rFonts w:ascii="Times New Roman" w:hAnsi="Times New Roman" w:cs="Times New Roman"/>
                <w:b/>
                <w:sz w:val="26"/>
                <w:szCs w:val="26"/>
              </w:rPr>
            </w:pPr>
            <w:r w:rsidRPr="004E30A9">
              <w:rPr>
                <w:rFonts w:ascii="Times New Roman" w:hAnsi="Times New Roman" w:cs="Times New Roman"/>
                <w:b/>
                <w:sz w:val="26"/>
                <w:szCs w:val="26"/>
              </w:rPr>
              <w:t xml:space="preserve">Giới hạn tài chính (financial cap) </w:t>
            </w:r>
          </w:p>
        </w:tc>
        <w:tc>
          <w:tcPr>
            <w:tcW w:w="1325" w:type="dxa"/>
          </w:tcPr>
          <w:p w14:paraId="11556CA2" w14:textId="77777777" w:rsidR="0063440A" w:rsidRPr="004E30A9" w:rsidRDefault="0063440A" w:rsidP="0063440A">
            <w:pPr>
              <w:autoSpaceDE w:val="0"/>
              <w:autoSpaceDN w:val="0"/>
              <w:adjustRightInd w:val="0"/>
              <w:spacing w:after="0" w:line="240" w:lineRule="auto"/>
              <w:rPr>
                <w:rFonts w:ascii="Times New Roman" w:hAnsi="Times New Roman" w:cs="Times New Roman"/>
                <w:b/>
                <w:sz w:val="26"/>
                <w:szCs w:val="26"/>
              </w:rPr>
            </w:pPr>
            <w:r w:rsidRPr="004E30A9">
              <w:rPr>
                <w:rFonts w:ascii="Times New Roman" w:hAnsi="Times New Roman" w:cs="Times New Roman"/>
                <w:b/>
                <w:sz w:val="26"/>
                <w:szCs w:val="26"/>
              </w:rPr>
              <w:t xml:space="preserve">Khả năng vượt quá giới hạn tài chính </w:t>
            </w:r>
          </w:p>
        </w:tc>
        <w:tc>
          <w:tcPr>
            <w:tcW w:w="1448" w:type="dxa"/>
            <w:gridSpan w:val="2"/>
          </w:tcPr>
          <w:p w14:paraId="15352D0A" w14:textId="77777777" w:rsidR="0063440A" w:rsidRPr="004E30A9" w:rsidRDefault="0063440A" w:rsidP="0063440A">
            <w:pPr>
              <w:autoSpaceDE w:val="0"/>
              <w:autoSpaceDN w:val="0"/>
              <w:adjustRightInd w:val="0"/>
              <w:spacing w:after="0" w:line="240" w:lineRule="auto"/>
              <w:rPr>
                <w:rFonts w:ascii="Times New Roman" w:hAnsi="Times New Roman" w:cs="Times New Roman"/>
                <w:b/>
                <w:sz w:val="26"/>
                <w:szCs w:val="26"/>
              </w:rPr>
            </w:pPr>
            <w:r w:rsidRPr="004E30A9">
              <w:rPr>
                <w:rFonts w:ascii="Times New Roman" w:hAnsi="Times New Roman" w:cs="Times New Roman"/>
                <w:b/>
                <w:sz w:val="26"/>
                <w:szCs w:val="26"/>
              </w:rPr>
              <w:t xml:space="preserve">Nguồn vốn dự phòng từ khu vực công (Public backup funding) </w:t>
            </w:r>
          </w:p>
        </w:tc>
        <w:tc>
          <w:tcPr>
            <w:tcW w:w="1621" w:type="dxa"/>
          </w:tcPr>
          <w:p w14:paraId="340D963A" w14:textId="77777777" w:rsidR="0063440A" w:rsidRPr="004E30A9" w:rsidRDefault="0063440A" w:rsidP="0063440A">
            <w:pPr>
              <w:autoSpaceDE w:val="0"/>
              <w:autoSpaceDN w:val="0"/>
              <w:adjustRightInd w:val="0"/>
              <w:spacing w:after="0" w:line="240" w:lineRule="auto"/>
              <w:rPr>
                <w:rFonts w:ascii="Times New Roman" w:hAnsi="Times New Roman" w:cs="Times New Roman"/>
                <w:b/>
                <w:sz w:val="26"/>
                <w:szCs w:val="26"/>
              </w:rPr>
            </w:pPr>
            <w:r w:rsidRPr="004E30A9">
              <w:rPr>
                <w:rFonts w:ascii="Times New Roman" w:hAnsi="Times New Roman" w:cs="Times New Roman"/>
                <w:b/>
                <w:sz w:val="26"/>
                <w:szCs w:val="26"/>
              </w:rPr>
              <w:t>Vay (Private borrowing)</w:t>
            </w:r>
          </w:p>
        </w:tc>
      </w:tr>
      <w:tr w:rsidR="004D2F23" w:rsidRPr="00EB6ED7" w14:paraId="32104CCE" w14:textId="77777777" w:rsidTr="004E30A9">
        <w:trPr>
          <w:trHeight w:val="143"/>
        </w:trPr>
        <w:tc>
          <w:tcPr>
            <w:tcW w:w="1448" w:type="dxa"/>
          </w:tcPr>
          <w:p w14:paraId="70EE1218" w14:textId="77777777" w:rsidR="0063440A" w:rsidRPr="004E30A9" w:rsidRDefault="0063440A" w:rsidP="0063440A">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Barbados (BDIC) </w:t>
            </w:r>
          </w:p>
        </w:tc>
        <w:tc>
          <w:tcPr>
            <w:tcW w:w="1448" w:type="dxa"/>
          </w:tcPr>
          <w:p w14:paraId="78392384"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602" w:type="dxa"/>
            <w:gridSpan w:val="2"/>
          </w:tcPr>
          <w:p w14:paraId="43148872"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17" w:type="dxa"/>
          </w:tcPr>
          <w:p w14:paraId="05C3633F"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25" w:type="dxa"/>
          </w:tcPr>
          <w:p w14:paraId="33C31598" w14:textId="77777777" w:rsidR="0063440A" w:rsidRPr="004E30A9" w:rsidRDefault="0063440A" w:rsidP="0063440A">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448" w:type="dxa"/>
            <w:gridSpan w:val="2"/>
          </w:tcPr>
          <w:p w14:paraId="5E203A6A"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621" w:type="dxa"/>
          </w:tcPr>
          <w:p w14:paraId="156DD851"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5B6A756E" w14:textId="77777777" w:rsidTr="004E30A9">
        <w:trPr>
          <w:trHeight w:val="156"/>
        </w:trPr>
        <w:tc>
          <w:tcPr>
            <w:tcW w:w="1448" w:type="dxa"/>
          </w:tcPr>
          <w:p w14:paraId="365F4936" w14:textId="77777777" w:rsidR="0063440A" w:rsidRPr="004E30A9" w:rsidRDefault="0063440A" w:rsidP="0063440A">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Brazil (FGC) </w:t>
            </w:r>
          </w:p>
        </w:tc>
        <w:tc>
          <w:tcPr>
            <w:tcW w:w="1448" w:type="dxa"/>
          </w:tcPr>
          <w:p w14:paraId="00887650"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602" w:type="dxa"/>
            <w:gridSpan w:val="2"/>
          </w:tcPr>
          <w:p w14:paraId="0E2F7870"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17" w:type="dxa"/>
          </w:tcPr>
          <w:p w14:paraId="4E2C1BF5"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25" w:type="dxa"/>
          </w:tcPr>
          <w:p w14:paraId="0D395EFC"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48" w:type="dxa"/>
            <w:gridSpan w:val="2"/>
          </w:tcPr>
          <w:p w14:paraId="6CFDA4AA"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621" w:type="dxa"/>
          </w:tcPr>
          <w:p w14:paraId="59A2F3A9"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70BDBADE" w14:textId="77777777" w:rsidTr="004E30A9">
        <w:trPr>
          <w:trHeight w:val="143"/>
        </w:trPr>
        <w:tc>
          <w:tcPr>
            <w:tcW w:w="1448" w:type="dxa"/>
          </w:tcPr>
          <w:p w14:paraId="1E27F167" w14:textId="77777777" w:rsidR="0063440A" w:rsidRPr="004E30A9" w:rsidRDefault="0063440A" w:rsidP="0063440A">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Canada (CDIC)*** </w:t>
            </w:r>
          </w:p>
        </w:tc>
        <w:tc>
          <w:tcPr>
            <w:tcW w:w="1448" w:type="dxa"/>
          </w:tcPr>
          <w:p w14:paraId="7D64BA3B"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602" w:type="dxa"/>
            <w:gridSpan w:val="2"/>
          </w:tcPr>
          <w:p w14:paraId="1C496405"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17" w:type="dxa"/>
          </w:tcPr>
          <w:p w14:paraId="468ECD96"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25" w:type="dxa"/>
          </w:tcPr>
          <w:p w14:paraId="6F71CF0D"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48" w:type="dxa"/>
            <w:gridSpan w:val="2"/>
          </w:tcPr>
          <w:p w14:paraId="7C212493"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621" w:type="dxa"/>
          </w:tcPr>
          <w:p w14:paraId="1E85092D"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27904035" w14:textId="77777777" w:rsidTr="004E30A9">
        <w:trPr>
          <w:trHeight w:val="156"/>
        </w:trPr>
        <w:tc>
          <w:tcPr>
            <w:tcW w:w="1448" w:type="dxa"/>
          </w:tcPr>
          <w:p w14:paraId="39B6C757" w14:textId="77777777" w:rsidR="0063440A" w:rsidRPr="004E30A9" w:rsidRDefault="0063440A" w:rsidP="0063440A">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Colombia (Fogafín) </w:t>
            </w:r>
          </w:p>
        </w:tc>
        <w:tc>
          <w:tcPr>
            <w:tcW w:w="1448" w:type="dxa"/>
          </w:tcPr>
          <w:p w14:paraId="340A35A3"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602" w:type="dxa"/>
            <w:gridSpan w:val="2"/>
          </w:tcPr>
          <w:p w14:paraId="06B890AD"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17" w:type="dxa"/>
          </w:tcPr>
          <w:p w14:paraId="7192E3E2"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25" w:type="dxa"/>
          </w:tcPr>
          <w:p w14:paraId="2B3D474B"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48" w:type="dxa"/>
            <w:gridSpan w:val="2"/>
          </w:tcPr>
          <w:p w14:paraId="68E4DB31"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621" w:type="dxa"/>
          </w:tcPr>
          <w:p w14:paraId="2EB9C390"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05BAEB4C" w14:textId="77777777" w:rsidTr="004E30A9">
        <w:trPr>
          <w:trHeight w:val="143"/>
        </w:trPr>
        <w:tc>
          <w:tcPr>
            <w:tcW w:w="1448" w:type="dxa"/>
          </w:tcPr>
          <w:p w14:paraId="63FC0360" w14:textId="77777777" w:rsidR="0063440A" w:rsidRPr="004E30A9" w:rsidRDefault="0063440A" w:rsidP="0063440A">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Ecuador (COSEDE) </w:t>
            </w:r>
          </w:p>
        </w:tc>
        <w:tc>
          <w:tcPr>
            <w:tcW w:w="1448" w:type="dxa"/>
          </w:tcPr>
          <w:p w14:paraId="561A56B6"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602" w:type="dxa"/>
            <w:gridSpan w:val="2"/>
          </w:tcPr>
          <w:p w14:paraId="4B7D5FFB"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17" w:type="dxa"/>
          </w:tcPr>
          <w:p w14:paraId="23D7EE30"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25" w:type="dxa"/>
          </w:tcPr>
          <w:p w14:paraId="2DD95E49"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48" w:type="dxa"/>
            <w:gridSpan w:val="2"/>
          </w:tcPr>
          <w:p w14:paraId="0702EEDD"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621" w:type="dxa"/>
          </w:tcPr>
          <w:p w14:paraId="16924DAF"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3A02835B" w14:textId="77777777" w:rsidTr="004E30A9">
        <w:trPr>
          <w:trHeight w:val="156"/>
        </w:trPr>
        <w:tc>
          <w:tcPr>
            <w:tcW w:w="1448" w:type="dxa"/>
          </w:tcPr>
          <w:p w14:paraId="6EE18957" w14:textId="77777777" w:rsidR="0063440A" w:rsidRPr="004E30A9" w:rsidRDefault="0063440A" w:rsidP="0063440A">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Germany (BVR) </w:t>
            </w:r>
          </w:p>
        </w:tc>
        <w:tc>
          <w:tcPr>
            <w:tcW w:w="1448" w:type="dxa"/>
          </w:tcPr>
          <w:p w14:paraId="5D5EBA6D"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602" w:type="dxa"/>
            <w:gridSpan w:val="2"/>
          </w:tcPr>
          <w:p w14:paraId="1622D020"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17" w:type="dxa"/>
          </w:tcPr>
          <w:p w14:paraId="50971E03"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25" w:type="dxa"/>
          </w:tcPr>
          <w:p w14:paraId="50673061"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48" w:type="dxa"/>
            <w:gridSpan w:val="2"/>
          </w:tcPr>
          <w:p w14:paraId="21B7EA88"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621" w:type="dxa"/>
          </w:tcPr>
          <w:p w14:paraId="27AD2F76"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3C0CACF6" w14:textId="77777777" w:rsidTr="004E30A9">
        <w:trPr>
          <w:trHeight w:val="143"/>
        </w:trPr>
        <w:tc>
          <w:tcPr>
            <w:tcW w:w="1448" w:type="dxa"/>
          </w:tcPr>
          <w:p w14:paraId="0D760A76" w14:textId="77777777" w:rsidR="0063440A" w:rsidRPr="004E30A9" w:rsidRDefault="0063440A" w:rsidP="0063440A">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Germany (DPFB) </w:t>
            </w:r>
          </w:p>
        </w:tc>
        <w:tc>
          <w:tcPr>
            <w:tcW w:w="1448" w:type="dxa"/>
          </w:tcPr>
          <w:p w14:paraId="047C0087"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602" w:type="dxa"/>
            <w:gridSpan w:val="2"/>
          </w:tcPr>
          <w:p w14:paraId="242CDC3D"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17" w:type="dxa"/>
          </w:tcPr>
          <w:p w14:paraId="6809D58B"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25" w:type="dxa"/>
          </w:tcPr>
          <w:p w14:paraId="5C5216FA" w14:textId="77777777" w:rsidR="0063440A" w:rsidRPr="004E30A9" w:rsidRDefault="0063440A" w:rsidP="0063440A">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448" w:type="dxa"/>
            <w:gridSpan w:val="2"/>
          </w:tcPr>
          <w:p w14:paraId="54485AB9"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621" w:type="dxa"/>
          </w:tcPr>
          <w:p w14:paraId="76CD463E"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3B98F324" w14:textId="77777777" w:rsidTr="004E30A9">
        <w:trPr>
          <w:trHeight w:val="156"/>
        </w:trPr>
        <w:tc>
          <w:tcPr>
            <w:tcW w:w="1448" w:type="dxa"/>
          </w:tcPr>
          <w:p w14:paraId="4D543D8C" w14:textId="77777777" w:rsidR="0063440A" w:rsidRPr="004E30A9" w:rsidRDefault="0063440A" w:rsidP="0063440A">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Indonesia (IDIC) </w:t>
            </w:r>
          </w:p>
        </w:tc>
        <w:tc>
          <w:tcPr>
            <w:tcW w:w="1448" w:type="dxa"/>
          </w:tcPr>
          <w:p w14:paraId="33C9F814"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602" w:type="dxa"/>
            <w:gridSpan w:val="2"/>
          </w:tcPr>
          <w:p w14:paraId="663EF766"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17" w:type="dxa"/>
          </w:tcPr>
          <w:p w14:paraId="18A5DF9F"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25" w:type="dxa"/>
          </w:tcPr>
          <w:p w14:paraId="2E8088E4"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48" w:type="dxa"/>
            <w:gridSpan w:val="2"/>
          </w:tcPr>
          <w:p w14:paraId="14105A2A"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621" w:type="dxa"/>
          </w:tcPr>
          <w:p w14:paraId="525FADBC"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0CC9B75A" w14:textId="77777777" w:rsidTr="004E30A9">
        <w:trPr>
          <w:trHeight w:val="143"/>
        </w:trPr>
        <w:tc>
          <w:tcPr>
            <w:tcW w:w="1448" w:type="dxa"/>
          </w:tcPr>
          <w:p w14:paraId="75B490DB" w14:textId="77777777" w:rsidR="0063440A" w:rsidRPr="004E30A9" w:rsidRDefault="0063440A" w:rsidP="0063440A">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Italy (FITD) </w:t>
            </w:r>
          </w:p>
        </w:tc>
        <w:tc>
          <w:tcPr>
            <w:tcW w:w="1448" w:type="dxa"/>
          </w:tcPr>
          <w:p w14:paraId="2B26072A"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602" w:type="dxa"/>
            <w:gridSpan w:val="2"/>
          </w:tcPr>
          <w:p w14:paraId="6CED956C"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17" w:type="dxa"/>
          </w:tcPr>
          <w:p w14:paraId="718A2ECB"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25" w:type="dxa"/>
          </w:tcPr>
          <w:p w14:paraId="5D32046D"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48" w:type="dxa"/>
            <w:gridSpan w:val="2"/>
          </w:tcPr>
          <w:p w14:paraId="62E0ABFA"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621" w:type="dxa"/>
          </w:tcPr>
          <w:p w14:paraId="6032829D"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3547467A" w14:textId="77777777" w:rsidTr="004E30A9">
        <w:trPr>
          <w:trHeight w:val="156"/>
        </w:trPr>
        <w:tc>
          <w:tcPr>
            <w:tcW w:w="1448" w:type="dxa"/>
          </w:tcPr>
          <w:p w14:paraId="318BA3E7" w14:textId="77777777" w:rsidR="0063440A" w:rsidRPr="004E30A9" w:rsidRDefault="0063440A" w:rsidP="0063440A">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lastRenderedPageBreak/>
              <w:t xml:space="preserve">Jamaica (JDIC) </w:t>
            </w:r>
          </w:p>
        </w:tc>
        <w:tc>
          <w:tcPr>
            <w:tcW w:w="1448" w:type="dxa"/>
          </w:tcPr>
          <w:p w14:paraId="551BB533"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602" w:type="dxa"/>
            <w:gridSpan w:val="2"/>
          </w:tcPr>
          <w:p w14:paraId="23034F07"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17" w:type="dxa"/>
          </w:tcPr>
          <w:p w14:paraId="50FB8FCA"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25" w:type="dxa"/>
          </w:tcPr>
          <w:p w14:paraId="5DC826D3"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48" w:type="dxa"/>
            <w:gridSpan w:val="2"/>
          </w:tcPr>
          <w:p w14:paraId="628662D0"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621" w:type="dxa"/>
          </w:tcPr>
          <w:p w14:paraId="5889B08F"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0C8D8B1E" w14:textId="77777777" w:rsidTr="004E30A9">
        <w:trPr>
          <w:trHeight w:val="143"/>
        </w:trPr>
        <w:tc>
          <w:tcPr>
            <w:tcW w:w="1448" w:type="dxa"/>
          </w:tcPr>
          <w:p w14:paraId="0A6778B6" w14:textId="77777777" w:rsidR="0063440A" w:rsidRPr="004E30A9" w:rsidRDefault="0063440A" w:rsidP="0063440A">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Japan (DICJ) </w:t>
            </w:r>
          </w:p>
        </w:tc>
        <w:tc>
          <w:tcPr>
            <w:tcW w:w="1448" w:type="dxa"/>
          </w:tcPr>
          <w:p w14:paraId="3E8E8F0C"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602" w:type="dxa"/>
            <w:gridSpan w:val="2"/>
          </w:tcPr>
          <w:p w14:paraId="7E128A49"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17" w:type="dxa"/>
          </w:tcPr>
          <w:p w14:paraId="285004F0"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25" w:type="dxa"/>
          </w:tcPr>
          <w:p w14:paraId="20DA2CC1"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48" w:type="dxa"/>
            <w:gridSpan w:val="2"/>
          </w:tcPr>
          <w:p w14:paraId="6CF3991D"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621" w:type="dxa"/>
          </w:tcPr>
          <w:p w14:paraId="5845E5CB"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26A4DD5E" w14:textId="77777777" w:rsidTr="004E30A9">
        <w:trPr>
          <w:trHeight w:val="155"/>
        </w:trPr>
        <w:tc>
          <w:tcPr>
            <w:tcW w:w="1448" w:type="dxa"/>
          </w:tcPr>
          <w:p w14:paraId="2D1EC6BB" w14:textId="77777777" w:rsidR="0063440A" w:rsidRPr="004E30A9" w:rsidRDefault="0063440A" w:rsidP="0063440A">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Korea (KDIC) </w:t>
            </w:r>
          </w:p>
        </w:tc>
        <w:tc>
          <w:tcPr>
            <w:tcW w:w="1448" w:type="dxa"/>
          </w:tcPr>
          <w:p w14:paraId="10BABCB1"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602" w:type="dxa"/>
            <w:gridSpan w:val="2"/>
          </w:tcPr>
          <w:p w14:paraId="66E59416"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17" w:type="dxa"/>
          </w:tcPr>
          <w:p w14:paraId="106EFC44"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25" w:type="dxa"/>
          </w:tcPr>
          <w:p w14:paraId="0CD0823D"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48" w:type="dxa"/>
            <w:gridSpan w:val="2"/>
          </w:tcPr>
          <w:p w14:paraId="36212737"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621" w:type="dxa"/>
          </w:tcPr>
          <w:p w14:paraId="30EA46A4"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0B7D6177" w14:textId="77777777" w:rsidTr="004E30A9">
        <w:trPr>
          <w:trHeight w:val="143"/>
        </w:trPr>
        <w:tc>
          <w:tcPr>
            <w:tcW w:w="1448" w:type="dxa"/>
          </w:tcPr>
          <w:p w14:paraId="1DCD262F" w14:textId="77777777" w:rsidR="0063440A" w:rsidRPr="004E30A9" w:rsidRDefault="0063440A" w:rsidP="0063440A">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Mexico (IPAB) </w:t>
            </w:r>
          </w:p>
        </w:tc>
        <w:tc>
          <w:tcPr>
            <w:tcW w:w="1448" w:type="dxa"/>
          </w:tcPr>
          <w:p w14:paraId="623E940B"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602" w:type="dxa"/>
            <w:gridSpan w:val="2"/>
          </w:tcPr>
          <w:p w14:paraId="15C241F7"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17" w:type="dxa"/>
          </w:tcPr>
          <w:p w14:paraId="58695DA5"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25" w:type="dxa"/>
          </w:tcPr>
          <w:p w14:paraId="5D3A76A1"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48" w:type="dxa"/>
            <w:gridSpan w:val="2"/>
          </w:tcPr>
          <w:p w14:paraId="26E5E9B6"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621" w:type="dxa"/>
          </w:tcPr>
          <w:p w14:paraId="5D43C22F"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01A96AB8" w14:textId="77777777" w:rsidTr="004E30A9">
        <w:trPr>
          <w:trHeight w:val="155"/>
        </w:trPr>
        <w:tc>
          <w:tcPr>
            <w:tcW w:w="1448" w:type="dxa"/>
          </w:tcPr>
          <w:p w14:paraId="6410C448" w14:textId="77777777" w:rsidR="0063440A" w:rsidRPr="004E30A9" w:rsidRDefault="0063440A" w:rsidP="0063440A">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Mongolia (DICoM) </w:t>
            </w:r>
          </w:p>
        </w:tc>
        <w:tc>
          <w:tcPr>
            <w:tcW w:w="1448" w:type="dxa"/>
          </w:tcPr>
          <w:p w14:paraId="7246E4E1"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602" w:type="dxa"/>
            <w:gridSpan w:val="2"/>
          </w:tcPr>
          <w:p w14:paraId="24C78D11"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17" w:type="dxa"/>
          </w:tcPr>
          <w:p w14:paraId="167B8C49"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25" w:type="dxa"/>
          </w:tcPr>
          <w:p w14:paraId="1CC18E75"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48" w:type="dxa"/>
            <w:gridSpan w:val="2"/>
          </w:tcPr>
          <w:p w14:paraId="4882F259"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621" w:type="dxa"/>
          </w:tcPr>
          <w:p w14:paraId="629823FC"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4D68DB20" w14:textId="77777777" w:rsidTr="004E30A9">
        <w:trPr>
          <w:trHeight w:val="143"/>
        </w:trPr>
        <w:tc>
          <w:tcPr>
            <w:tcW w:w="1448" w:type="dxa"/>
          </w:tcPr>
          <w:p w14:paraId="5B6FC519" w14:textId="77777777" w:rsidR="0063440A" w:rsidRPr="004E30A9" w:rsidRDefault="0063440A" w:rsidP="0063440A">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Morocco (FCGB) </w:t>
            </w:r>
          </w:p>
        </w:tc>
        <w:tc>
          <w:tcPr>
            <w:tcW w:w="1448" w:type="dxa"/>
          </w:tcPr>
          <w:p w14:paraId="69E92905"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602" w:type="dxa"/>
            <w:gridSpan w:val="2"/>
          </w:tcPr>
          <w:p w14:paraId="30D7A16C"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17" w:type="dxa"/>
          </w:tcPr>
          <w:p w14:paraId="5B5888B2"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25" w:type="dxa"/>
          </w:tcPr>
          <w:p w14:paraId="6E80F40C"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48" w:type="dxa"/>
            <w:gridSpan w:val="2"/>
          </w:tcPr>
          <w:p w14:paraId="641F52F7"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621" w:type="dxa"/>
          </w:tcPr>
          <w:p w14:paraId="20BEA912"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76BC19BE" w14:textId="77777777" w:rsidTr="004E30A9">
        <w:trPr>
          <w:trHeight w:val="155"/>
        </w:trPr>
        <w:tc>
          <w:tcPr>
            <w:tcW w:w="1448" w:type="dxa"/>
          </w:tcPr>
          <w:p w14:paraId="4AAB2E52" w14:textId="77777777" w:rsidR="0063440A" w:rsidRPr="004E30A9" w:rsidRDefault="0063440A" w:rsidP="0063440A">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Nigeria (NDIC) </w:t>
            </w:r>
          </w:p>
        </w:tc>
        <w:tc>
          <w:tcPr>
            <w:tcW w:w="1448" w:type="dxa"/>
          </w:tcPr>
          <w:p w14:paraId="241CD582"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602" w:type="dxa"/>
            <w:gridSpan w:val="2"/>
          </w:tcPr>
          <w:p w14:paraId="0137AE47"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17" w:type="dxa"/>
          </w:tcPr>
          <w:p w14:paraId="5025894C"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25" w:type="dxa"/>
          </w:tcPr>
          <w:p w14:paraId="4B110898"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48" w:type="dxa"/>
            <w:gridSpan w:val="2"/>
          </w:tcPr>
          <w:p w14:paraId="6783884E"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621" w:type="dxa"/>
          </w:tcPr>
          <w:p w14:paraId="3C11176A"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439D4137" w14:textId="77777777" w:rsidTr="004E30A9">
        <w:trPr>
          <w:trHeight w:val="143"/>
        </w:trPr>
        <w:tc>
          <w:tcPr>
            <w:tcW w:w="1448" w:type="dxa"/>
          </w:tcPr>
          <w:p w14:paraId="29347EDE" w14:textId="77777777" w:rsidR="0063440A" w:rsidRPr="004E30A9" w:rsidRDefault="0063440A" w:rsidP="0063440A">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Norway (NBGF) </w:t>
            </w:r>
          </w:p>
        </w:tc>
        <w:tc>
          <w:tcPr>
            <w:tcW w:w="1448" w:type="dxa"/>
          </w:tcPr>
          <w:p w14:paraId="5DF3D341"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602" w:type="dxa"/>
            <w:gridSpan w:val="2"/>
          </w:tcPr>
          <w:p w14:paraId="6DFC3ED3"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17" w:type="dxa"/>
          </w:tcPr>
          <w:p w14:paraId="0103192C"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25" w:type="dxa"/>
          </w:tcPr>
          <w:p w14:paraId="6EE94B7A"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48" w:type="dxa"/>
            <w:gridSpan w:val="2"/>
          </w:tcPr>
          <w:p w14:paraId="070184C1"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621" w:type="dxa"/>
          </w:tcPr>
          <w:p w14:paraId="604EA1AD"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4C277D11" w14:textId="77777777" w:rsidTr="004E30A9">
        <w:trPr>
          <w:trHeight w:val="155"/>
        </w:trPr>
        <w:tc>
          <w:tcPr>
            <w:tcW w:w="1448" w:type="dxa"/>
          </w:tcPr>
          <w:p w14:paraId="02DBACE2" w14:textId="77777777" w:rsidR="0063440A" w:rsidRPr="004E30A9" w:rsidRDefault="0063440A" w:rsidP="0063440A">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Spain (FGD) </w:t>
            </w:r>
          </w:p>
        </w:tc>
        <w:tc>
          <w:tcPr>
            <w:tcW w:w="1448" w:type="dxa"/>
          </w:tcPr>
          <w:p w14:paraId="4083FBAB"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602" w:type="dxa"/>
            <w:gridSpan w:val="2"/>
          </w:tcPr>
          <w:p w14:paraId="225AB75A"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17" w:type="dxa"/>
          </w:tcPr>
          <w:p w14:paraId="0D38B537"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25" w:type="dxa"/>
          </w:tcPr>
          <w:p w14:paraId="538CB753"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48" w:type="dxa"/>
            <w:gridSpan w:val="2"/>
          </w:tcPr>
          <w:p w14:paraId="5861DBC5"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621" w:type="dxa"/>
          </w:tcPr>
          <w:p w14:paraId="3D38EEA1"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0083E2E3" w14:textId="77777777" w:rsidTr="004E30A9">
        <w:trPr>
          <w:trHeight w:val="156"/>
        </w:trPr>
        <w:tc>
          <w:tcPr>
            <w:tcW w:w="1448" w:type="dxa"/>
          </w:tcPr>
          <w:p w14:paraId="21F5C234" w14:textId="77777777" w:rsidR="0063440A" w:rsidRPr="004E30A9" w:rsidRDefault="0063440A" w:rsidP="0063440A">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Sri Lanka (SLDIS) </w:t>
            </w:r>
          </w:p>
        </w:tc>
        <w:tc>
          <w:tcPr>
            <w:tcW w:w="1448" w:type="dxa"/>
          </w:tcPr>
          <w:p w14:paraId="6C28143D"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602" w:type="dxa"/>
            <w:gridSpan w:val="2"/>
          </w:tcPr>
          <w:p w14:paraId="589D4FB6"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17" w:type="dxa"/>
          </w:tcPr>
          <w:p w14:paraId="2607D402"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25" w:type="dxa"/>
          </w:tcPr>
          <w:p w14:paraId="155D10DE"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48" w:type="dxa"/>
            <w:gridSpan w:val="2"/>
          </w:tcPr>
          <w:p w14:paraId="2E5CDAB5"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621" w:type="dxa"/>
          </w:tcPr>
          <w:p w14:paraId="3B3F253A"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6483F62B" w14:textId="77777777" w:rsidTr="004E30A9">
        <w:trPr>
          <w:trHeight w:val="155"/>
        </w:trPr>
        <w:tc>
          <w:tcPr>
            <w:tcW w:w="1448" w:type="dxa"/>
          </w:tcPr>
          <w:p w14:paraId="5EA3D682" w14:textId="77777777" w:rsidR="0063440A" w:rsidRPr="004E30A9" w:rsidRDefault="0063440A" w:rsidP="0063440A">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Turkey (SDIF) </w:t>
            </w:r>
          </w:p>
        </w:tc>
        <w:tc>
          <w:tcPr>
            <w:tcW w:w="1448" w:type="dxa"/>
          </w:tcPr>
          <w:p w14:paraId="4E693456"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602" w:type="dxa"/>
            <w:gridSpan w:val="2"/>
          </w:tcPr>
          <w:p w14:paraId="350996E4"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17" w:type="dxa"/>
          </w:tcPr>
          <w:p w14:paraId="4BEE85E3"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25" w:type="dxa"/>
          </w:tcPr>
          <w:p w14:paraId="1893463C"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48" w:type="dxa"/>
            <w:gridSpan w:val="2"/>
          </w:tcPr>
          <w:p w14:paraId="64FA2D6F"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621" w:type="dxa"/>
          </w:tcPr>
          <w:p w14:paraId="6CADD9A8" w14:textId="77777777" w:rsidR="0063440A" w:rsidRPr="004E30A9" w:rsidRDefault="0063440A" w:rsidP="0063440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bl>
    <w:p w14:paraId="02F5B621" w14:textId="77777777" w:rsidR="0063440A" w:rsidRPr="004E30A9" w:rsidRDefault="0063440A" w:rsidP="003E5A33">
      <w:pPr>
        <w:jc w:val="both"/>
        <w:rPr>
          <w:rFonts w:ascii="Times New Roman" w:hAnsi="Times New Roman" w:cs="Times New Roman"/>
          <w:b/>
          <w:sz w:val="26"/>
          <w:szCs w:val="26"/>
        </w:rPr>
      </w:pPr>
    </w:p>
    <w:p w14:paraId="2758D347" w14:textId="0B12D740" w:rsidR="00DA22AA" w:rsidRPr="004E30A9" w:rsidRDefault="00DA22AA" w:rsidP="003E5A33">
      <w:pPr>
        <w:jc w:val="both"/>
        <w:rPr>
          <w:rFonts w:ascii="Times New Roman" w:hAnsi="Times New Roman" w:cs="Times New Roman"/>
          <w:sz w:val="26"/>
          <w:szCs w:val="26"/>
        </w:rPr>
      </w:pPr>
      <w:r w:rsidRPr="004E30A9">
        <w:rPr>
          <w:rFonts w:ascii="Times New Roman" w:hAnsi="Times New Roman" w:cs="Times New Roman"/>
          <w:b/>
          <w:sz w:val="26"/>
          <w:szCs w:val="26"/>
        </w:rPr>
        <w:tab/>
      </w:r>
      <w:r w:rsidRPr="004E30A9">
        <w:rPr>
          <w:rFonts w:ascii="Times New Roman" w:hAnsi="Times New Roman" w:cs="Times New Roman"/>
          <w:sz w:val="26"/>
          <w:szCs w:val="26"/>
        </w:rPr>
        <w:t>Một số BHTG có thể cung cấp hỗ trợ vốn trước khi TCTD mất khả năng chi trả như một biện pháp phòng ngừa. Trong một số trường hợp, đây là một phần của công cụ thực hiện tái cơ cấu. Ví dụ, CDIC (Canada) có một nhiệm vụ theo luật định rõ ràng, ngoài việc bảo vệ người gửi tiền, là "thúc đẩy và đóng góp vào sự ổn định của hệ thố</w:t>
      </w:r>
      <w:r w:rsidR="00AC093B" w:rsidRPr="004E30A9">
        <w:rPr>
          <w:rFonts w:ascii="Times New Roman" w:hAnsi="Times New Roman" w:cs="Times New Roman"/>
          <w:sz w:val="26"/>
          <w:szCs w:val="26"/>
        </w:rPr>
        <w:t>ng tài chính"</w:t>
      </w:r>
      <w:r w:rsidRPr="004E30A9">
        <w:rPr>
          <w:rFonts w:ascii="Times New Roman" w:hAnsi="Times New Roman" w:cs="Times New Roman"/>
          <w:sz w:val="26"/>
          <w:szCs w:val="26"/>
        </w:rPr>
        <w:t xml:space="preserve"> và có thể theo đuổi nhiệm vụ đó thông qua hành động phòng ngừa phù hợp với mục tiêu giảm thiểu tổn thất. Theo đó, khi một ngân hàng đang gặp khó khăn về tài chính khiến khả năng tồn tại trong tương lai của ngân hàng bị nghi ngờ nghiêm trọng, nhưng vẫn chưa đạt được các điều kiện để tái cơ cấu hoặc phá sản, CDIC có thể hỗ trợ hành động tái c</w:t>
      </w:r>
      <w:r w:rsidR="00AC093B" w:rsidRPr="004E30A9">
        <w:rPr>
          <w:rFonts w:ascii="Times New Roman" w:hAnsi="Times New Roman" w:cs="Times New Roman"/>
          <w:sz w:val="26"/>
          <w:szCs w:val="26"/>
        </w:rPr>
        <w:t>ơ cấu</w:t>
      </w:r>
      <w:r w:rsidRPr="004E30A9">
        <w:rPr>
          <w:rFonts w:ascii="Times New Roman" w:hAnsi="Times New Roman" w:cs="Times New Roman"/>
          <w:sz w:val="26"/>
          <w:szCs w:val="26"/>
        </w:rPr>
        <w:t xml:space="preserve"> thông qua các biện pháp như mua tài sản. </w:t>
      </w:r>
    </w:p>
    <w:p w14:paraId="15AE029F" w14:textId="77777777" w:rsidR="0063440A" w:rsidRPr="004E30A9" w:rsidRDefault="0063440A" w:rsidP="0063440A">
      <w:pPr>
        <w:ind w:firstLine="720"/>
        <w:jc w:val="both"/>
        <w:rPr>
          <w:rFonts w:ascii="Times New Roman" w:hAnsi="Times New Roman" w:cs="Times New Roman"/>
          <w:sz w:val="26"/>
          <w:szCs w:val="26"/>
        </w:rPr>
      </w:pPr>
      <w:r w:rsidRPr="004E30A9">
        <w:rPr>
          <w:rFonts w:ascii="Times New Roman" w:hAnsi="Times New Roman" w:cs="Times New Roman"/>
          <w:sz w:val="26"/>
          <w:szCs w:val="26"/>
        </w:rPr>
        <w:t xml:space="preserve">Một số BHTG có thể cung cấp hỗ trợ thanh khoản trước khi phá sản, như một biện pháp phòng ngừa. Ví dụ, tổ chức BHTG của Brazil (FGC) có thể tham gia vào các hoạt động hỗ trợ tài chính và thanh khoản của các tổ chức thành viên vẫn còn khả năng thanh toán theo Chương trình hỗ trợ thanh khoản của BHTG. Một ngân hàng thành viên không mất khả năng chi trả có thể nộp đơn xin hỗ trợ thanh khoản cho FGC nếu có nguy cơ không trả được nợ, phát sinh từ việc thiếu thanh khoản. Khi đánh giá đề nghị của ngân hàng thành viên, FGC xem xét liệu ngân hàng xin hỗ trợ có khả năng phục hồi sau khi hỗ trợ thanh khoản hay </w:t>
      </w:r>
      <w:r w:rsidRPr="004E30A9">
        <w:rPr>
          <w:rFonts w:ascii="Times New Roman" w:hAnsi="Times New Roman" w:cs="Times New Roman"/>
          <w:sz w:val="26"/>
          <w:szCs w:val="26"/>
        </w:rPr>
        <w:lastRenderedPageBreak/>
        <w:t>không và sẽ xin tư vấn của NHTW để xem việc mất khả năng chi trả của ngân hàng đó có ảnh hưởng hệ thống hay không.</w:t>
      </w:r>
    </w:p>
    <w:p w14:paraId="4FA73E3D" w14:textId="091D03C9" w:rsidR="00DA22AA" w:rsidRPr="004E30A9" w:rsidRDefault="00DA22AA" w:rsidP="003E5A33">
      <w:pPr>
        <w:jc w:val="both"/>
        <w:rPr>
          <w:rFonts w:ascii="Times New Roman" w:hAnsi="Times New Roman" w:cs="Times New Roman"/>
          <w:sz w:val="26"/>
          <w:szCs w:val="26"/>
        </w:rPr>
      </w:pPr>
      <w:r w:rsidRPr="004E30A9">
        <w:rPr>
          <w:rFonts w:ascii="Times New Roman" w:hAnsi="Times New Roman" w:cs="Times New Roman"/>
          <w:sz w:val="26"/>
          <w:szCs w:val="26"/>
        </w:rPr>
        <w:tab/>
      </w:r>
      <w:r w:rsidR="008F2F2C" w:rsidRPr="004E30A9">
        <w:rPr>
          <w:rFonts w:ascii="Times New Roman" w:hAnsi="Times New Roman" w:cs="Times New Roman"/>
          <w:sz w:val="26"/>
          <w:szCs w:val="26"/>
        </w:rPr>
        <w:t xml:space="preserve">Để thực hiện hỗ trợ thanh khoản, tùy từng tổ chức BHTG có thể yêu cầu biện pháp bảo đảm. Việc yêu cầu biện pháp bảo đảm hay không phụ thuộc vào quy định thanh khoản giữa BHTG và ngân hàng trung ương. Ví dụ, IPAB (Mexico) có thể hỗ trợ thanh khoản cho các ngân </w:t>
      </w:r>
      <w:r w:rsidR="007031AC" w:rsidRPr="004E30A9">
        <w:rPr>
          <w:rFonts w:ascii="Times New Roman" w:hAnsi="Times New Roman" w:cs="Times New Roman"/>
          <w:sz w:val="26"/>
          <w:szCs w:val="26"/>
        </w:rPr>
        <w:t>hàng</w:t>
      </w:r>
      <w:r w:rsidR="008F2F2C" w:rsidRPr="004E30A9">
        <w:rPr>
          <w:rFonts w:ascii="Times New Roman" w:hAnsi="Times New Roman" w:cs="Times New Roman"/>
          <w:sz w:val="26"/>
          <w:szCs w:val="26"/>
        </w:rPr>
        <w:t xml:space="preserve"> hệ</w:t>
      </w:r>
      <w:r w:rsidR="007031AC" w:rsidRPr="004E30A9">
        <w:rPr>
          <w:rFonts w:ascii="Times New Roman" w:hAnsi="Times New Roman" w:cs="Times New Roman"/>
          <w:sz w:val="26"/>
          <w:szCs w:val="26"/>
        </w:rPr>
        <w:t xml:space="preserve"> thống</w:t>
      </w:r>
      <w:r w:rsidR="008F2F2C" w:rsidRPr="004E30A9">
        <w:rPr>
          <w:rFonts w:ascii="Times New Roman" w:hAnsi="Times New Roman" w:cs="Times New Roman"/>
          <w:sz w:val="26"/>
          <w:szCs w:val="26"/>
        </w:rPr>
        <w:t xml:space="preserve"> đang trong quá trình </w:t>
      </w:r>
      <w:r w:rsidR="007031AC" w:rsidRPr="004E30A9">
        <w:rPr>
          <w:rFonts w:ascii="Times New Roman" w:hAnsi="Times New Roman" w:cs="Times New Roman"/>
          <w:sz w:val="26"/>
          <w:szCs w:val="26"/>
        </w:rPr>
        <w:t>được giám sát</w:t>
      </w:r>
      <w:r w:rsidR="008F2F2C" w:rsidRPr="004E30A9">
        <w:rPr>
          <w:rFonts w:ascii="Times New Roman" w:hAnsi="Times New Roman" w:cs="Times New Roman"/>
          <w:sz w:val="26"/>
          <w:szCs w:val="26"/>
        </w:rPr>
        <w:t xml:space="preserve"> đã nhận được hỗ trợ thanh khoản khẩn cấp (ELA) từ ngân hàng trung ương nhưng </w:t>
      </w:r>
      <w:r w:rsidR="007031AC" w:rsidRPr="004E30A9">
        <w:rPr>
          <w:rFonts w:ascii="Times New Roman" w:hAnsi="Times New Roman" w:cs="Times New Roman"/>
          <w:sz w:val="26"/>
          <w:szCs w:val="26"/>
        </w:rPr>
        <w:t>vi phạm các điều kiện tuân thủ</w:t>
      </w:r>
      <w:r w:rsidR="008F2F2C" w:rsidRPr="004E30A9">
        <w:rPr>
          <w:rFonts w:ascii="Times New Roman" w:hAnsi="Times New Roman" w:cs="Times New Roman"/>
          <w:sz w:val="26"/>
          <w:szCs w:val="26"/>
        </w:rPr>
        <w:t xml:space="preserve">. Trong tình huống đó, IPAB có thể cho vay </w:t>
      </w:r>
      <w:r w:rsidR="007031AC" w:rsidRPr="004E30A9">
        <w:rPr>
          <w:rFonts w:ascii="Times New Roman" w:hAnsi="Times New Roman" w:cs="Times New Roman"/>
          <w:sz w:val="26"/>
          <w:szCs w:val="26"/>
        </w:rPr>
        <w:t>ở mức đủ</w:t>
      </w:r>
      <w:r w:rsidR="008F2F2C" w:rsidRPr="004E30A9">
        <w:rPr>
          <w:rFonts w:ascii="Times New Roman" w:hAnsi="Times New Roman" w:cs="Times New Roman"/>
          <w:sz w:val="26"/>
          <w:szCs w:val="26"/>
        </w:rPr>
        <w:t xml:space="preserve"> để </w:t>
      </w:r>
      <w:r w:rsidR="007031AC" w:rsidRPr="004E30A9">
        <w:rPr>
          <w:rFonts w:ascii="Times New Roman" w:hAnsi="Times New Roman" w:cs="Times New Roman"/>
          <w:sz w:val="26"/>
          <w:szCs w:val="26"/>
        </w:rPr>
        <w:t>thanh toán</w:t>
      </w:r>
      <w:r w:rsidR="008F2F2C" w:rsidRPr="004E30A9">
        <w:rPr>
          <w:rFonts w:ascii="Times New Roman" w:hAnsi="Times New Roman" w:cs="Times New Roman"/>
          <w:sz w:val="26"/>
          <w:szCs w:val="26"/>
        </w:rPr>
        <w:t xml:space="preserve"> khoản vay của ngân hàng trung ương và sau khi ngân hàng trung ương được hoàn trả</w:t>
      </w:r>
      <w:r w:rsidR="007031AC" w:rsidRPr="004E30A9">
        <w:rPr>
          <w:rFonts w:ascii="Times New Roman" w:hAnsi="Times New Roman" w:cs="Times New Roman"/>
          <w:sz w:val="26"/>
          <w:szCs w:val="26"/>
        </w:rPr>
        <w:t xml:space="preserve"> khoản vay</w:t>
      </w:r>
      <w:r w:rsidR="008F2F2C" w:rsidRPr="004E30A9">
        <w:rPr>
          <w:rFonts w:ascii="Times New Roman" w:hAnsi="Times New Roman" w:cs="Times New Roman"/>
          <w:sz w:val="26"/>
          <w:szCs w:val="26"/>
        </w:rPr>
        <w:t xml:space="preserve">, </w:t>
      </w:r>
      <w:r w:rsidR="007031AC" w:rsidRPr="004E30A9">
        <w:rPr>
          <w:rFonts w:ascii="Times New Roman" w:hAnsi="Times New Roman" w:cs="Times New Roman"/>
          <w:sz w:val="26"/>
          <w:szCs w:val="26"/>
        </w:rPr>
        <w:t>BHTG</w:t>
      </w:r>
      <w:r w:rsidR="008F2F2C" w:rsidRPr="004E30A9">
        <w:rPr>
          <w:rFonts w:ascii="Times New Roman" w:hAnsi="Times New Roman" w:cs="Times New Roman"/>
          <w:sz w:val="26"/>
          <w:szCs w:val="26"/>
        </w:rPr>
        <w:t xml:space="preserve"> sẽ nhận được khoản bảo đảm ban đầu đã thế chấp cho ngân hàng trung ương. Một số </w:t>
      </w:r>
      <w:r w:rsidR="007031AC" w:rsidRPr="004E30A9">
        <w:rPr>
          <w:rFonts w:ascii="Times New Roman" w:hAnsi="Times New Roman" w:cs="Times New Roman"/>
          <w:sz w:val="26"/>
          <w:szCs w:val="26"/>
        </w:rPr>
        <w:t>BHTG</w:t>
      </w:r>
      <w:r w:rsidR="008F2F2C" w:rsidRPr="004E30A9">
        <w:rPr>
          <w:rFonts w:ascii="Times New Roman" w:hAnsi="Times New Roman" w:cs="Times New Roman"/>
          <w:sz w:val="26"/>
          <w:szCs w:val="26"/>
        </w:rPr>
        <w:t xml:space="preserve"> chấp nhận tài sản </w:t>
      </w:r>
      <w:r w:rsidR="002A4C5F" w:rsidRPr="004E30A9">
        <w:rPr>
          <w:rFonts w:ascii="Times New Roman" w:hAnsi="Times New Roman" w:cs="Times New Roman"/>
          <w:sz w:val="26"/>
          <w:szCs w:val="26"/>
        </w:rPr>
        <w:t>bảo đảm</w:t>
      </w:r>
      <w:r w:rsidR="008F2F2C" w:rsidRPr="004E30A9">
        <w:rPr>
          <w:rFonts w:ascii="Times New Roman" w:hAnsi="Times New Roman" w:cs="Times New Roman"/>
          <w:sz w:val="26"/>
          <w:szCs w:val="26"/>
        </w:rPr>
        <w:t xml:space="preserve"> chất lượng thấp hơn mứ</w:t>
      </w:r>
      <w:r w:rsidR="007031AC" w:rsidRPr="004E30A9">
        <w:rPr>
          <w:rFonts w:ascii="Times New Roman" w:hAnsi="Times New Roman" w:cs="Times New Roman"/>
          <w:sz w:val="26"/>
          <w:szCs w:val="26"/>
        </w:rPr>
        <w:t xml:space="preserve">c yêu cầu </w:t>
      </w:r>
      <w:r w:rsidR="002A4C5F" w:rsidRPr="004E30A9">
        <w:rPr>
          <w:rFonts w:ascii="Times New Roman" w:hAnsi="Times New Roman" w:cs="Times New Roman"/>
          <w:sz w:val="26"/>
          <w:szCs w:val="26"/>
        </w:rPr>
        <w:t>bảo đảm</w:t>
      </w:r>
      <w:r w:rsidR="0063440A" w:rsidRPr="004E30A9">
        <w:rPr>
          <w:rFonts w:ascii="Times New Roman" w:hAnsi="Times New Roman" w:cs="Times New Roman"/>
          <w:sz w:val="26"/>
          <w:szCs w:val="26"/>
        </w:rPr>
        <w:t xml:space="preserve"> cho </w:t>
      </w:r>
      <w:r w:rsidR="008F2F2C" w:rsidRPr="004E30A9">
        <w:rPr>
          <w:rFonts w:ascii="Times New Roman" w:hAnsi="Times New Roman" w:cs="Times New Roman"/>
          <w:sz w:val="26"/>
          <w:szCs w:val="26"/>
        </w:rPr>
        <w:t>ngân hàng trung ương</w:t>
      </w:r>
      <w:r w:rsidR="0063440A" w:rsidRPr="004E30A9">
        <w:rPr>
          <w:rFonts w:ascii="Times New Roman" w:hAnsi="Times New Roman" w:cs="Times New Roman"/>
          <w:sz w:val="26"/>
          <w:szCs w:val="26"/>
        </w:rPr>
        <w:t xml:space="preserve"> </w:t>
      </w:r>
      <w:r w:rsidR="002A4C5F" w:rsidRPr="004E30A9">
        <w:rPr>
          <w:rFonts w:ascii="Times New Roman" w:hAnsi="Times New Roman" w:cs="Times New Roman"/>
          <w:sz w:val="26"/>
          <w:szCs w:val="26"/>
        </w:rPr>
        <w:t>để</w:t>
      </w:r>
      <w:r w:rsidR="0063440A" w:rsidRPr="004E30A9">
        <w:rPr>
          <w:rFonts w:ascii="Times New Roman" w:hAnsi="Times New Roman" w:cs="Times New Roman"/>
          <w:sz w:val="26"/>
          <w:szCs w:val="26"/>
        </w:rPr>
        <w:t xml:space="preserve"> hỗ trợ thanh khoản</w:t>
      </w:r>
      <w:r w:rsidR="008F2F2C" w:rsidRPr="004E30A9">
        <w:rPr>
          <w:rFonts w:ascii="Times New Roman" w:hAnsi="Times New Roman" w:cs="Times New Roman"/>
          <w:sz w:val="26"/>
          <w:szCs w:val="26"/>
        </w:rPr>
        <w:t xml:space="preserve">. </w:t>
      </w:r>
    </w:p>
    <w:p w14:paraId="5E0B9801" w14:textId="124E9A3B" w:rsidR="008D0D42" w:rsidRPr="004E30A9" w:rsidRDefault="008D0D42" w:rsidP="008D0D42">
      <w:pPr>
        <w:ind w:firstLine="720"/>
        <w:jc w:val="both"/>
        <w:rPr>
          <w:rFonts w:ascii="Times New Roman" w:hAnsi="Times New Roman" w:cs="Times New Roman"/>
          <w:sz w:val="26"/>
          <w:szCs w:val="26"/>
        </w:rPr>
      </w:pPr>
      <w:r w:rsidRPr="004E30A9">
        <w:rPr>
          <w:rFonts w:ascii="Times New Roman" w:hAnsi="Times New Roman" w:cs="Times New Roman"/>
          <w:sz w:val="26"/>
          <w:szCs w:val="26"/>
        </w:rPr>
        <w:t xml:space="preserve">Tại Philippines, PDIC có thể mở rộng hỗ trợ tài chính dưới bất kỳ hình thức nào hoặc kết hợp các khoản vay trực tiếp, mua tài sản, tiếp nhận các khoản nợ phải trả, gửi tiền và vốn chủ sở hữu. Tại Hàn Quốc, nếu KDIC cho rằng một tổ chức có thể đang có vấn đề, KDIC có thể hỗ trợ dưới hình thức mua cổ phiếu, mua và tiếp nhận tài sản và cho vay để giảm thiểu tổn thất kinh tế và xã hội từ TCTD có vấn đề đó. Tại Đài Loan, hỗ trợ tương tự được cung cấp thông qua tiền gửi và các khoản vay. Tuy nhiên, hỗ trợ tài chính chỉ có thể được cung cấp khi đáp ứng được các điều kiện tiên quyết nghiêm ngặt như có khả năng gây ra khủng hoảng hệ thống, ngân hàng có vấn đề được tổ chức BHTG Đài Loan tiếp quản và phải có bảo đảm thực hiện nghĩa vụ đối với toàn bộ nghĩa vụ tài chính. Với Malaysia, khi có thông báo bằng văn bản của ngân hàng trung ương (cũng là cơ quan giám sát) rằng một ngân hàng ngừng hoạt động hoặc có khả năng ngừng hoạt động, MDIC có thể cung cấp hỗ trợ tài chính cho ngân hàng để giảm thiểu chi phí cho hệ thống tài chính. Sự hỗ trợ như vậy dự kiến ​​sẽ đi kèm với các biện pháp kiểm soát cần thiết, chẳng hạn như bổ nhiệm ban quản lý cấp cao mới và thành viên hội đồng quản trị mới, và yêu cầu ngân hàng phải đệ trình một kế hoạch hành động để tăng cường hoạt động và quản lý rủi ro của ngân hàng. Tại Indonesia, liên quan đến việc giải quyết các ngân hàng phá sản, Luật Tổng công ty Bảo hiểm tiền gửi Indonesia (IDIC) quy định hai loại ngân hàng phá sản: </w:t>
      </w:r>
      <w:r w:rsidR="00B84375" w:rsidRPr="004E30A9">
        <w:rPr>
          <w:rFonts w:ascii="Times New Roman" w:hAnsi="Times New Roman" w:cs="Times New Roman"/>
          <w:sz w:val="26"/>
          <w:szCs w:val="26"/>
        </w:rPr>
        <w:t xml:space="preserve"> </w:t>
      </w:r>
      <w:r w:rsidRPr="004E30A9">
        <w:rPr>
          <w:rFonts w:ascii="Times New Roman" w:hAnsi="Times New Roman" w:cs="Times New Roman"/>
          <w:sz w:val="26"/>
          <w:szCs w:val="26"/>
        </w:rPr>
        <w:t xml:space="preserve">không có hệ thống và có hệ thống. Nếu Ngân hàng </w:t>
      </w:r>
      <w:r w:rsidR="002A4C5F" w:rsidRPr="004E30A9">
        <w:rPr>
          <w:rFonts w:ascii="Times New Roman" w:hAnsi="Times New Roman" w:cs="Times New Roman"/>
          <w:sz w:val="26"/>
          <w:szCs w:val="26"/>
        </w:rPr>
        <w:t xml:space="preserve">trung ương </w:t>
      </w:r>
      <w:r w:rsidRPr="004E30A9">
        <w:rPr>
          <w:rFonts w:ascii="Times New Roman" w:hAnsi="Times New Roman" w:cs="Times New Roman"/>
          <w:sz w:val="26"/>
          <w:szCs w:val="26"/>
        </w:rPr>
        <w:t xml:space="preserve">Indonesia, với tư cách là cơ quan giám sát, cho rằng một ngân hàng phá sản không có tác động có hệ thống đến các ngân hàng khác hoặc hệ thống ngân hàng, Ngân hàng Indonesia sẽ gửi thông báo bằng văn bản cho IDIC để IDIC có thể quyết định có cứu trợ hay trả tiền bảo hiểm cho khách hàng của ngân hàng phá sản dựa trên bài </w:t>
      </w:r>
      <w:r w:rsidR="00850509">
        <w:rPr>
          <w:rFonts w:ascii="Times New Roman" w:hAnsi="Times New Roman" w:cs="Times New Roman"/>
          <w:sz w:val="26"/>
          <w:szCs w:val="26"/>
        </w:rPr>
        <w:t xml:space="preserve">     </w:t>
      </w:r>
      <w:r w:rsidRPr="004E30A9">
        <w:rPr>
          <w:rFonts w:ascii="Times New Roman" w:hAnsi="Times New Roman" w:cs="Times New Roman"/>
          <w:sz w:val="26"/>
          <w:szCs w:val="26"/>
        </w:rPr>
        <w:t xml:space="preserve"> chi phí thấp nhất. Nếu Ngân hàng Indonesia chỉ ra rằng ngân hàng có tác động có hệ thống, họ sẽ mời Ủy ban điều phối họp để xác nhận rằng đó là một ngân hàng phá sản có hệ thống và quyết định phương pháp giải quyết. Nếu Ủy ban điều phối quyết định rằng ngân hàng có tác động mang tính hệ thống, ngân hàng sẽ được hỗ trợ bằng cách IDIC cung cấp hỗ trợ tài chính bằng cách bơm vốn mới vào ngân hàng cho đến khi ngân hàng đáp ứng các tiêu chuẩn lành mạnh về tài chính do Ngân hàng Indonesia đặt ra, cùng với các biện pháp khác như bổ nhiệm ban quản lý mới.</w:t>
      </w:r>
    </w:p>
    <w:p w14:paraId="7DD34323" w14:textId="77777777" w:rsidR="00382F31" w:rsidRPr="004E30A9" w:rsidRDefault="00ED57FE" w:rsidP="00950EB9">
      <w:pPr>
        <w:ind w:firstLine="720"/>
        <w:jc w:val="both"/>
        <w:rPr>
          <w:rFonts w:ascii="Times New Roman" w:hAnsi="Times New Roman" w:cs="Times New Roman"/>
          <w:b/>
          <w:sz w:val="26"/>
          <w:szCs w:val="26"/>
        </w:rPr>
      </w:pPr>
      <w:r w:rsidRPr="004E30A9">
        <w:rPr>
          <w:rFonts w:ascii="Times New Roman" w:hAnsi="Times New Roman" w:cs="Times New Roman"/>
          <w:b/>
          <w:sz w:val="26"/>
          <w:szCs w:val="26"/>
        </w:rPr>
        <w:lastRenderedPageBreak/>
        <w:t xml:space="preserve">2. </w:t>
      </w:r>
      <w:r w:rsidR="00950EB9" w:rsidRPr="004E30A9">
        <w:rPr>
          <w:rFonts w:ascii="Times New Roman" w:hAnsi="Times New Roman" w:cs="Times New Roman"/>
          <w:b/>
          <w:sz w:val="26"/>
          <w:szCs w:val="26"/>
        </w:rPr>
        <w:t>Thực hiện giao dịch mua và tiếp quản (giao dịch P&amp;A – Purchase and Assumption)</w:t>
      </w:r>
    </w:p>
    <w:p w14:paraId="2CC3A1AF" w14:textId="77777777" w:rsidR="00950EB9" w:rsidRPr="004E30A9" w:rsidRDefault="00950EB9" w:rsidP="00563502">
      <w:pPr>
        <w:ind w:firstLine="720"/>
        <w:jc w:val="both"/>
        <w:rPr>
          <w:rFonts w:ascii="Times New Roman" w:hAnsi="Times New Roman" w:cs="Times New Roman"/>
          <w:sz w:val="26"/>
          <w:szCs w:val="26"/>
        </w:rPr>
      </w:pPr>
      <w:r w:rsidRPr="004E30A9">
        <w:rPr>
          <w:rFonts w:ascii="Times New Roman" w:hAnsi="Times New Roman" w:cs="Times New Roman"/>
          <w:sz w:val="26"/>
          <w:szCs w:val="26"/>
        </w:rPr>
        <w:t xml:space="preserve">Phần lớn DIS có thể cung cấp tiền để hỗ trợ việc chuyển giao các hoạt động sang một ngân hàng có khả năng thanh toán thông qua các giao dịch P&amp;A. Trong các giao dịch P&amp;A, một số hoặc toàn bộ tiền gửi và có thể là các khoản nợ phải trả khác được chuyển từ ngân hàng đang phá sản sang một ngân hàng mua lại. Việc chuyển giao được hỗ trợ bằng giá trị tương đương của tài sản của ngân hàng đang phá sản, với điều kiện là có đủ tài sản. Khi có sự thiếu hụt giữa tài sản và nợ phải trả để chuyển giao, </w:t>
      </w:r>
      <w:r w:rsidR="00563502" w:rsidRPr="004E30A9">
        <w:rPr>
          <w:rFonts w:ascii="Times New Roman" w:hAnsi="Times New Roman" w:cs="Times New Roman"/>
          <w:sz w:val="26"/>
          <w:szCs w:val="26"/>
        </w:rPr>
        <w:t xml:space="preserve">BHTG sẽ sử dụng thêm </w:t>
      </w:r>
      <w:r w:rsidRPr="004E30A9">
        <w:rPr>
          <w:rFonts w:ascii="Times New Roman" w:hAnsi="Times New Roman" w:cs="Times New Roman"/>
          <w:sz w:val="26"/>
          <w:szCs w:val="26"/>
        </w:rPr>
        <w:t>nguồn tài trợ khác.</w:t>
      </w:r>
    </w:p>
    <w:p w14:paraId="681E75BD" w14:textId="77777777" w:rsidR="00563502" w:rsidRPr="004E30A9" w:rsidRDefault="00563502" w:rsidP="00563502">
      <w:pPr>
        <w:ind w:firstLine="720"/>
        <w:jc w:val="both"/>
        <w:rPr>
          <w:rFonts w:ascii="Times New Roman" w:hAnsi="Times New Roman" w:cs="Times New Roman"/>
          <w:sz w:val="26"/>
          <w:szCs w:val="26"/>
        </w:rPr>
      </w:pPr>
      <w:r w:rsidRPr="004E30A9">
        <w:rPr>
          <w:rFonts w:ascii="Times New Roman" w:hAnsi="Times New Roman" w:cs="Times New Roman"/>
          <w:sz w:val="26"/>
          <w:szCs w:val="26"/>
        </w:rPr>
        <w:t>Bảng 1 ở dưới tóm lược 26 quỹ BHTG có thể hỗ trợ một số hình thức giao dịch P&amp;A ở mức tối thiểu (chuyển giao tiền gửi). Tuy nhiên, mức độ khả dụng của việc thực hiện trên thực tế</w:t>
      </w:r>
      <w:r w:rsidR="002C27EA" w:rsidRPr="004E30A9">
        <w:rPr>
          <w:rFonts w:ascii="Times New Roman" w:hAnsi="Times New Roman" w:cs="Times New Roman"/>
          <w:sz w:val="26"/>
          <w:szCs w:val="26"/>
        </w:rPr>
        <w:t xml:space="preserve"> </w:t>
      </w:r>
      <w:r w:rsidRPr="004E30A9">
        <w:rPr>
          <w:rFonts w:ascii="Times New Roman" w:hAnsi="Times New Roman" w:cs="Times New Roman"/>
          <w:sz w:val="26"/>
          <w:szCs w:val="26"/>
        </w:rPr>
        <w:t xml:space="preserve">phụ thuộc vào các yếu tố như cấu trúc của khu vực ngân hàng, chi phí của các tùy chọn thanh lý thay thế và nhiệm vụ và quyền hạn liên quan của </w:t>
      </w:r>
      <w:r w:rsidR="002C27EA" w:rsidRPr="004E30A9">
        <w:rPr>
          <w:rFonts w:ascii="Times New Roman" w:hAnsi="Times New Roman" w:cs="Times New Roman"/>
          <w:sz w:val="26"/>
          <w:szCs w:val="26"/>
        </w:rPr>
        <w:t>tổ chức BHTG.</w:t>
      </w:r>
    </w:p>
    <w:tbl>
      <w:tblPr>
        <w:tblW w:w="10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0"/>
        <w:gridCol w:w="1290"/>
        <w:gridCol w:w="1290"/>
        <w:gridCol w:w="1290"/>
        <w:gridCol w:w="46"/>
        <w:gridCol w:w="1276"/>
        <w:gridCol w:w="1985"/>
        <w:gridCol w:w="1701"/>
      </w:tblGrid>
      <w:tr w:rsidR="004D2F23" w:rsidRPr="00EB6ED7" w14:paraId="28D75590" w14:textId="77777777" w:rsidTr="000F5E8C">
        <w:trPr>
          <w:trHeight w:val="188"/>
        </w:trPr>
        <w:tc>
          <w:tcPr>
            <w:tcW w:w="10168" w:type="dxa"/>
            <w:gridSpan w:val="8"/>
          </w:tcPr>
          <w:p w14:paraId="7397B238" w14:textId="77777777" w:rsidR="002C27EA" w:rsidRPr="004E30A9" w:rsidRDefault="001943B5" w:rsidP="002C27EA">
            <w:pPr>
              <w:autoSpaceDE w:val="0"/>
              <w:autoSpaceDN w:val="0"/>
              <w:adjustRightInd w:val="0"/>
              <w:spacing w:after="0" w:line="240" w:lineRule="auto"/>
              <w:jc w:val="center"/>
              <w:rPr>
                <w:rFonts w:ascii="Times New Roman" w:hAnsi="Times New Roman" w:cs="Times New Roman"/>
                <w:b/>
                <w:sz w:val="26"/>
                <w:szCs w:val="26"/>
              </w:rPr>
            </w:pPr>
            <w:r w:rsidRPr="004E30A9">
              <w:rPr>
                <w:rFonts w:ascii="Times New Roman" w:hAnsi="Times New Roman" w:cs="Times New Roman"/>
                <w:b/>
                <w:sz w:val="26"/>
                <w:szCs w:val="26"/>
              </w:rPr>
              <w:t>THỰC HIỆN GIAO DỊCH MUA VÀ TIẾP QUẢN (PURCHASE AND ASSUMPTION TRANSACTIONS)</w:t>
            </w:r>
          </w:p>
          <w:p w14:paraId="1D9CF107" w14:textId="77777777" w:rsidR="002C27EA" w:rsidRPr="004E30A9" w:rsidRDefault="002C27EA" w:rsidP="002C27EA">
            <w:pPr>
              <w:autoSpaceDE w:val="0"/>
              <w:autoSpaceDN w:val="0"/>
              <w:adjustRightInd w:val="0"/>
              <w:spacing w:after="0" w:line="240" w:lineRule="auto"/>
              <w:jc w:val="center"/>
              <w:rPr>
                <w:rFonts w:ascii="Times New Roman" w:hAnsi="Times New Roman" w:cs="Times New Roman"/>
                <w:b/>
                <w:sz w:val="26"/>
                <w:szCs w:val="26"/>
              </w:rPr>
            </w:pPr>
          </w:p>
        </w:tc>
      </w:tr>
      <w:tr w:rsidR="004D2F23" w:rsidRPr="00EB6ED7" w14:paraId="26D71AD9" w14:textId="77777777" w:rsidTr="00C0449E">
        <w:trPr>
          <w:trHeight w:val="282"/>
        </w:trPr>
        <w:tc>
          <w:tcPr>
            <w:tcW w:w="5206" w:type="dxa"/>
            <w:gridSpan w:val="5"/>
          </w:tcPr>
          <w:p w14:paraId="67FA3BBE" w14:textId="77777777" w:rsidR="002C27EA" w:rsidRPr="004E30A9" w:rsidRDefault="002C27EA" w:rsidP="002C27EA">
            <w:pPr>
              <w:autoSpaceDE w:val="0"/>
              <w:autoSpaceDN w:val="0"/>
              <w:adjustRightInd w:val="0"/>
              <w:spacing w:after="0" w:line="240" w:lineRule="auto"/>
              <w:jc w:val="center"/>
              <w:rPr>
                <w:rFonts w:ascii="Times New Roman" w:hAnsi="Times New Roman" w:cs="Times New Roman"/>
                <w:b/>
                <w:sz w:val="26"/>
                <w:szCs w:val="26"/>
              </w:rPr>
            </w:pPr>
            <w:r w:rsidRPr="004E30A9">
              <w:rPr>
                <w:rFonts w:ascii="Times New Roman" w:hAnsi="Times New Roman" w:cs="Times New Roman"/>
                <w:b/>
                <w:sz w:val="26"/>
                <w:szCs w:val="26"/>
              </w:rPr>
              <w:t>Loại nghĩa vụ</w:t>
            </w:r>
          </w:p>
        </w:tc>
        <w:tc>
          <w:tcPr>
            <w:tcW w:w="1276" w:type="dxa"/>
          </w:tcPr>
          <w:p w14:paraId="05D2DE57" w14:textId="77777777" w:rsidR="002C27EA" w:rsidRPr="004E30A9" w:rsidRDefault="002C27EA" w:rsidP="002C27EA">
            <w:pPr>
              <w:autoSpaceDE w:val="0"/>
              <w:autoSpaceDN w:val="0"/>
              <w:adjustRightInd w:val="0"/>
              <w:spacing w:after="0" w:line="240" w:lineRule="auto"/>
              <w:jc w:val="center"/>
              <w:rPr>
                <w:rFonts w:ascii="Times New Roman" w:hAnsi="Times New Roman" w:cs="Times New Roman"/>
                <w:b/>
                <w:sz w:val="26"/>
                <w:szCs w:val="26"/>
              </w:rPr>
            </w:pPr>
            <w:r w:rsidRPr="004E30A9">
              <w:rPr>
                <w:rFonts w:ascii="Times New Roman" w:hAnsi="Times New Roman" w:cs="Times New Roman"/>
                <w:b/>
                <w:sz w:val="26"/>
                <w:szCs w:val="26"/>
              </w:rPr>
              <w:t>Ưu tiên người gửi tiền</w:t>
            </w:r>
          </w:p>
        </w:tc>
        <w:tc>
          <w:tcPr>
            <w:tcW w:w="3686" w:type="dxa"/>
            <w:gridSpan w:val="2"/>
          </w:tcPr>
          <w:p w14:paraId="05A85BD1" w14:textId="77777777" w:rsidR="002C27EA" w:rsidRPr="004E30A9" w:rsidRDefault="002C27EA" w:rsidP="002C27EA">
            <w:pPr>
              <w:autoSpaceDE w:val="0"/>
              <w:autoSpaceDN w:val="0"/>
              <w:adjustRightInd w:val="0"/>
              <w:spacing w:after="0" w:line="240" w:lineRule="auto"/>
              <w:jc w:val="center"/>
              <w:rPr>
                <w:rFonts w:ascii="Times New Roman" w:hAnsi="Times New Roman" w:cs="Times New Roman"/>
                <w:b/>
                <w:sz w:val="26"/>
                <w:szCs w:val="26"/>
              </w:rPr>
            </w:pPr>
            <w:r w:rsidRPr="004E30A9">
              <w:rPr>
                <w:rFonts w:ascii="Times New Roman" w:hAnsi="Times New Roman" w:cs="Times New Roman"/>
                <w:b/>
                <w:sz w:val="26"/>
                <w:szCs w:val="26"/>
              </w:rPr>
              <w:t>Nguồn tài trợ bổ sung</w:t>
            </w:r>
          </w:p>
        </w:tc>
      </w:tr>
      <w:tr w:rsidR="004D2F23" w:rsidRPr="00EB6ED7" w14:paraId="1642F001" w14:textId="77777777" w:rsidTr="00351B31">
        <w:trPr>
          <w:trHeight w:val="371"/>
        </w:trPr>
        <w:tc>
          <w:tcPr>
            <w:tcW w:w="1290" w:type="dxa"/>
          </w:tcPr>
          <w:p w14:paraId="252DB9F8" w14:textId="77777777" w:rsidR="002C27EA" w:rsidRPr="004E30A9" w:rsidRDefault="008E5934" w:rsidP="002C27EA">
            <w:pPr>
              <w:autoSpaceDE w:val="0"/>
              <w:autoSpaceDN w:val="0"/>
              <w:adjustRightInd w:val="0"/>
              <w:spacing w:after="0" w:line="240" w:lineRule="auto"/>
              <w:rPr>
                <w:rFonts w:ascii="Times New Roman" w:hAnsi="Times New Roman" w:cs="Times New Roman"/>
                <w:b/>
                <w:sz w:val="26"/>
                <w:szCs w:val="26"/>
              </w:rPr>
            </w:pPr>
            <w:r w:rsidRPr="004E30A9">
              <w:rPr>
                <w:rFonts w:ascii="Times New Roman" w:hAnsi="Times New Roman" w:cs="Times New Roman"/>
                <w:b/>
                <w:sz w:val="26"/>
                <w:szCs w:val="26"/>
              </w:rPr>
              <w:t>Quốc gia (tổ chức BHTG)</w:t>
            </w:r>
            <w:r w:rsidR="002C27EA" w:rsidRPr="004E30A9">
              <w:rPr>
                <w:rFonts w:ascii="Times New Roman" w:hAnsi="Times New Roman" w:cs="Times New Roman"/>
                <w:b/>
                <w:sz w:val="26"/>
                <w:szCs w:val="26"/>
              </w:rPr>
              <w:t xml:space="preserve"> </w:t>
            </w:r>
          </w:p>
        </w:tc>
        <w:tc>
          <w:tcPr>
            <w:tcW w:w="1290" w:type="dxa"/>
          </w:tcPr>
          <w:p w14:paraId="66442F57" w14:textId="77777777" w:rsidR="002C27EA" w:rsidRPr="004E30A9" w:rsidRDefault="002C27EA" w:rsidP="002C27EA">
            <w:pPr>
              <w:autoSpaceDE w:val="0"/>
              <w:autoSpaceDN w:val="0"/>
              <w:adjustRightInd w:val="0"/>
              <w:spacing w:after="0" w:line="240" w:lineRule="auto"/>
              <w:rPr>
                <w:rFonts w:ascii="Times New Roman" w:hAnsi="Times New Roman" w:cs="Times New Roman"/>
                <w:b/>
                <w:sz w:val="26"/>
                <w:szCs w:val="26"/>
              </w:rPr>
            </w:pPr>
            <w:r w:rsidRPr="004E30A9">
              <w:rPr>
                <w:rFonts w:ascii="Times New Roman" w:hAnsi="Times New Roman" w:cs="Times New Roman"/>
                <w:b/>
                <w:sz w:val="26"/>
                <w:szCs w:val="26"/>
              </w:rPr>
              <w:t xml:space="preserve">Tiền gửi được bảo hiểm </w:t>
            </w:r>
          </w:p>
        </w:tc>
        <w:tc>
          <w:tcPr>
            <w:tcW w:w="1290" w:type="dxa"/>
          </w:tcPr>
          <w:p w14:paraId="60D90B0C" w14:textId="77777777" w:rsidR="002C27EA" w:rsidRPr="004E30A9" w:rsidRDefault="002C27EA" w:rsidP="002C27EA">
            <w:pPr>
              <w:autoSpaceDE w:val="0"/>
              <w:autoSpaceDN w:val="0"/>
              <w:adjustRightInd w:val="0"/>
              <w:spacing w:after="0" w:line="240" w:lineRule="auto"/>
              <w:rPr>
                <w:rFonts w:ascii="Times New Roman" w:hAnsi="Times New Roman" w:cs="Times New Roman"/>
                <w:b/>
                <w:sz w:val="26"/>
                <w:szCs w:val="26"/>
              </w:rPr>
            </w:pPr>
            <w:r w:rsidRPr="004E30A9">
              <w:rPr>
                <w:rFonts w:ascii="Times New Roman" w:hAnsi="Times New Roman" w:cs="Times New Roman"/>
                <w:b/>
                <w:sz w:val="26"/>
                <w:szCs w:val="26"/>
              </w:rPr>
              <w:t xml:space="preserve">Tiền gửi không được bảo hiểm </w:t>
            </w:r>
          </w:p>
        </w:tc>
        <w:tc>
          <w:tcPr>
            <w:tcW w:w="1290" w:type="dxa"/>
          </w:tcPr>
          <w:p w14:paraId="0189C187" w14:textId="77777777" w:rsidR="002C27EA" w:rsidRPr="004E30A9" w:rsidRDefault="007E57F8" w:rsidP="007E57F8">
            <w:pPr>
              <w:autoSpaceDE w:val="0"/>
              <w:autoSpaceDN w:val="0"/>
              <w:adjustRightInd w:val="0"/>
              <w:spacing w:after="0" w:line="240" w:lineRule="auto"/>
              <w:rPr>
                <w:rFonts w:ascii="Times New Roman" w:hAnsi="Times New Roman" w:cs="Times New Roman"/>
                <w:b/>
                <w:sz w:val="26"/>
                <w:szCs w:val="26"/>
              </w:rPr>
            </w:pPr>
            <w:r w:rsidRPr="004E30A9">
              <w:rPr>
                <w:rFonts w:ascii="Times New Roman" w:hAnsi="Times New Roman" w:cs="Times New Roman"/>
                <w:b/>
                <w:sz w:val="26"/>
                <w:szCs w:val="26"/>
              </w:rPr>
              <w:t>Các khoản phải trả khác</w:t>
            </w:r>
          </w:p>
        </w:tc>
        <w:tc>
          <w:tcPr>
            <w:tcW w:w="1322" w:type="dxa"/>
            <w:gridSpan w:val="2"/>
          </w:tcPr>
          <w:p w14:paraId="1CD1F651" w14:textId="77777777" w:rsidR="002C27EA" w:rsidRPr="004E30A9" w:rsidRDefault="002C27EA" w:rsidP="002C27EA">
            <w:pPr>
              <w:autoSpaceDE w:val="0"/>
              <w:autoSpaceDN w:val="0"/>
              <w:adjustRightInd w:val="0"/>
              <w:spacing w:after="0" w:line="240" w:lineRule="auto"/>
              <w:rPr>
                <w:rFonts w:ascii="Times New Roman" w:hAnsi="Times New Roman" w:cs="Times New Roman"/>
                <w:b/>
                <w:sz w:val="26"/>
                <w:szCs w:val="26"/>
              </w:rPr>
            </w:pPr>
            <w:r w:rsidRPr="004E30A9">
              <w:rPr>
                <w:rFonts w:ascii="Times New Roman" w:hAnsi="Times New Roman" w:cs="Times New Roman"/>
                <w:b/>
                <w:sz w:val="26"/>
                <w:szCs w:val="26"/>
              </w:rPr>
              <w:t>Có/không</w:t>
            </w:r>
          </w:p>
        </w:tc>
        <w:tc>
          <w:tcPr>
            <w:tcW w:w="1985" w:type="dxa"/>
          </w:tcPr>
          <w:p w14:paraId="3DE34397" w14:textId="77777777" w:rsidR="002C27EA" w:rsidRPr="004E30A9" w:rsidRDefault="002C27EA" w:rsidP="002C27EA">
            <w:pPr>
              <w:autoSpaceDE w:val="0"/>
              <w:autoSpaceDN w:val="0"/>
              <w:adjustRightInd w:val="0"/>
              <w:spacing w:after="0" w:line="240" w:lineRule="auto"/>
              <w:rPr>
                <w:rFonts w:ascii="Times New Roman" w:hAnsi="Times New Roman" w:cs="Times New Roman"/>
                <w:b/>
                <w:sz w:val="26"/>
                <w:szCs w:val="26"/>
              </w:rPr>
            </w:pPr>
            <w:r w:rsidRPr="004E30A9">
              <w:rPr>
                <w:rFonts w:ascii="Times New Roman" w:hAnsi="Times New Roman" w:cs="Times New Roman"/>
                <w:b/>
                <w:sz w:val="26"/>
                <w:szCs w:val="26"/>
              </w:rPr>
              <w:t xml:space="preserve">Nguồn vốn dự phòng từ khu vực công (Public backup funding) </w:t>
            </w:r>
          </w:p>
        </w:tc>
        <w:tc>
          <w:tcPr>
            <w:tcW w:w="1701" w:type="dxa"/>
          </w:tcPr>
          <w:p w14:paraId="52A4C5BE" w14:textId="77777777" w:rsidR="002C27EA" w:rsidRPr="004E30A9" w:rsidRDefault="002C27EA" w:rsidP="002C27EA">
            <w:pPr>
              <w:autoSpaceDE w:val="0"/>
              <w:autoSpaceDN w:val="0"/>
              <w:adjustRightInd w:val="0"/>
              <w:spacing w:after="0" w:line="240" w:lineRule="auto"/>
              <w:rPr>
                <w:rFonts w:ascii="Times New Roman" w:hAnsi="Times New Roman" w:cs="Times New Roman"/>
                <w:b/>
                <w:sz w:val="26"/>
                <w:szCs w:val="26"/>
              </w:rPr>
            </w:pPr>
            <w:r w:rsidRPr="004E30A9">
              <w:rPr>
                <w:rFonts w:ascii="Times New Roman" w:hAnsi="Times New Roman" w:cs="Times New Roman"/>
                <w:b/>
                <w:sz w:val="26"/>
                <w:szCs w:val="26"/>
              </w:rPr>
              <w:t>Vay (Private borrowing)</w:t>
            </w:r>
          </w:p>
        </w:tc>
      </w:tr>
      <w:tr w:rsidR="004D2F23" w:rsidRPr="00EB6ED7" w14:paraId="5A69349A" w14:textId="77777777" w:rsidTr="00351B31">
        <w:trPr>
          <w:trHeight w:val="145"/>
        </w:trPr>
        <w:tc>
          <w:tcPr>
            <w:tcW w:w="1290" w:type="dxa"/>
          </w:tcPr>
          <w:p w14:paraId="20FE1202" w14:textId="77777777" w:rsidR="002C27EA" w:rsidRPr="004E30A9" w:rsidRDefault="002C27EA" w:rsidP="002C27EA">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Úc</w:t>
            </w:r>
          </w:p>
          <w:p w14:paraId="4E05A0AE" w14:textId="77777777" w:rsidR="002C27EA" w:rsidRPr="004E30A9" w:rsidRDefault="002C27EA" w:rsidP="002C27EA">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(FCS) </w:t>
            </w:r>
          </w:p>
        </w:tc>
        <w:tc>
          <w:tcPr>
            <w:tcW w:w="1290" w:type="dxa"/>
          </w:tcPr>
          <w:p w14:paraId="48F217C4"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0A868AE8"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668B8B72"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22" w:type="dxa"/>
            <w:gridSpan w:val="2"/>
          </w:tcPr>
          <w:p w14:paraId="127171DA"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985" w:type="dxa"/>
          </w:tcPr>
          <w:p w14:paraId="25297F14"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701" w:type="dxa"/>
          </w:tcPr>
          <w:p w14:paraId="43FCF5A9"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652E3A5D" w14:textId="77777777" w:rsidTr="00351B31">
        <w:trPr>
          <w:trHeight w:val="157"/>
        </w:trPr>
        <w:tc>
          <w:tcPr>
            <w:tcW w:w="1290" w:type="dxa"/>
          </w:tcPr>
          <w:p w14:paraId="1113DA7B" w14:textId="77777777" w:rsidR="002C27EA" w:rsidRPr="004E30A9" w:rsidRDefault="002C27EA" w:rsidP="002C27EA">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Barbados (BDIC) </w:t>
            </w:r>
          </w:p>
        </w:tc>
        <w:tc>
          <w:tcPr>
            <w:tcW w:w="1290" w:type="dxa"/>
          </w:tcPr>
          <w:p w14:paraId="41B14EB1"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4A24A402"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7AB4B40B"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22" w:type="dxa"/>
            <w:gridSpan w:val="2"/>
          </w:tcPr>
          <w:p w14:paraId="016C099A"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985" w:type="dxa"/>
          </w:tcPr>
          <w:p w14:paraId="28B9194F"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701" w:type="dxa"/>
          </w:tcPr>
          <w:p w14:paraId="600CC6A9"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232F549F" w14:textId="77777777" w:rsidTr="00351B31">
        <w:trPr>
          <w:trHeight w:val="145"/>
        </w:trPr>
        <w:tc>
          <w:tcPr>
            <w:tcW w:w="1290" w:type="dxa"/>
          </w:tcPr>
          <w:p w14:paraId="3981F8C6" w14:textId="77777777" w:rsidR="002C27EA" w:rsidRPr="004E30A9" w:rsidRDefault="002C27EA" w:rsidP="002C27EA">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Canada (CDIC) </w:t>
            </w:r>
          </w:p>
        </w:tc>
        <w:tc>
          <w:tcPr>
            <w:tcW w:w="1290" w:type="dxa"/>
          </w:tcPr>
          <w:p w14:paraId="4A31887D"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694E04F7"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71216499"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22" w:type="dxa"/>
            <w:gridSpan w:val="2"/>
          </w:tcPr>
          <w:p w14:paraId="291D3EDD"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985" w:type="dxa"/>
          </w:tcPr>
          <w:p w14:paraId="620172BC"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701" w:type="dxa"/>
          </w:tcPr>
          <w:p w14:paraId="6C9B76F4"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418B39F4" w14:textId="77777777" w:rsidTr="00351B31">
        <w:trPr>
          <w:trHeight w:val="158"/>
        </w:trPr>
        <w:tc>
          <w:tcPr>
            <w:tcW w:w="1290" w:type="dxa"/>
          </w:tcPr>
          <w:p w14:paraId="69CE137A" w14:textId="77777777" w:rsidR="002C27EA" w:rsidRPr="004E30A9" w:rsidRDefault="002C27EA" w:rsidP="002C27EA">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Colombia (Fogafín) </w:t>
            </w:r>
          </w:p>
        </w:tc>
        <w:tc>
          <w:tcPr>
            <w:tcW w:w="1290" w:type="dxa"/>
          </w:tcPr>
          <w:p w14:paraId="21CE269C"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7CABE8BD"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6A0C9218"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22" w:type="dxa"/>
            <w:gridSpan w:val="2"/>
          </w:tcPr>
          <w:p w14:paraId="7F4D9116"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985" w:type="dxa"/>
          </w:tcPr>
          <w:p w14:paraId="5DC3E82F"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701" w:type="dxa"/>
          </w:tcPr>
          <w:p w14:paraId="3FAF4231"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48B709F3" w14:textId="77777777" w:rsidTr="00351B31">
        <w:trPr>
          <w:trHeight w:val="145"/>
        </w:trPr>
        <w:tc>
          <w:tcPr>
            <w:tcW w:w="1290" w:type="dxa"/>
          </w:tcPr>
          <w:p w14:paraId="153B0B8D" w14:textId="77777777" w:rsidR="002C27EA" w:rsidRPr="004E30A9" w:rsidRDefault="002C27EA" w:rsidP="002C27EA">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Phần Lan (DGF) </w:t>
            </w:r>
          </w:p>
        </w:tc>
        <w:tc>
          <w:tcPr>
            <w:tcW w:w="1290" w:type="dxa"/>
          </w:tcPr>
          <w:p w14:paraId="1536E5C2"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76190C87"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3A029B11"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22" w:type="dxa"/>
            <w:gridSpan w:val="2"/>
          </w:tcPr>
          <w:p w14:paraId="1103B6F7"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985" w:type="dxa"/>
          </w:tcPr>
          <w:p w14:paraId="568EE8C3"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701" w:type="dxa"/>
          </w:tcPr>
          <w:p w14:paraId="4384622C"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636BCB2D" w14:textId="77777777" w:rsidTr="00351B31">
        <w:trPr>
          <w:trHeight w:val="158"/>
        </w:trPr>
        <w:tc>
          <w:tcPr>
            <w:tcW w:w="1290" w:type="dxa"/>
          </w:tcPr>
          <w:p w14:paraId="3105928F" w14:textId="77777777" w:rsidR="002C27EA" w:rsidRPr="004E30A9" w:rsidRDefault="002C27EA" w:rsidP="002C27EA">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Đức (DPFB) </w:t>
            </w:r>
          </w:p>
        </w:tc>
        <w:tc>
          <w:tcPr>
            <w:tcW w:w="1290" w:type="dxa"/>
          </w:tcPr>
          <w:p w14:paraId="3DD44547"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137279A8"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29B1D2BD"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22" w:type="dxa"/>
            <w:gridSpan w:val="2"/>
          </w:tcPr>
          <w:p w14:paraId="25EE52AF"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985" w:type="dxa"/>
          </w:tcPr>
          <w:p w14:paraId="42E6DBFD"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701" w:type="dxa"/>
          </w:tcPr>
          <w:p w14:paraId="2D925FA3"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4C40F591" w14:textId="77777777" w:rsidTr="00351B31">
        <w:trPr>
          <w:trHeight w:val="145"/>
        </w:trPr>
        <w:tc>
          <w:tcPr>
            <w:tcW w:w="1290" w:type="dxa"/>
          </w:tcPr>
          <w:p w14:paraId="395E6AD2" w14:textId="77777777" w:rsidR="002C27EA" w:rsidRPr="004E30A9" w:rsidRDefault="002C27EA" w:rsidP="002C27EA">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Honduras (FOSEDE) </w:t>
            </w:r>
          </w:p>
        </w:tc>
        <w:tc>
          <w:tcPr>
            <w:tcW w:w="1290" w:type="dxa"/>
          </w:tcPr>
          <w:p w14:paraId="7634BC39"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6025D0EA"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25CC84BD"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22" w:type="dxa"/>
            <w:gridSpan w:val="2"/>
          </w:tcPr>
          <w:p w14:paraId="320D176F"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985" w:type="dxa"/>
          </w:tcPr>
          <w:p w14:paraId="3B48CFD2"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701" w:type="dxa"/>
          </w:tcPr>
          <w:p w14:paraId="7359849A"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62180362" w14:textId="77777777" w:rsidTr="00351B31">
        <w:trPr>
          <w:trHeight w:val="158"/>
        </w:trPr>
        <w:tc>
          <w:tcPr>
            <w:tcW w:w="1290" w:type="dxa"/>
          </w:tcPr>
          <w:p w14:paraId="73198B9F" w14:textId="77777777" w:rsidR="002C27EA" w:rsidRPr="004E30A9" w:rsidRDefault="002C27EA" w:rsidP="002C27EA">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lastRenderedPageBreak/>
              <w:t xml:space="preserve">Indonesia (IDIC) </w:t>
            </w:r>
          </w:p>
        </w:tc>
        <w:tc>
          <w:tcPr>
            <w:tcW w:w="1290" w:type="dxa"/>
          </w:tcPr>
          <w:p w14:paraId="360E4BB2"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5D7ACBF2"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4AEEEC6A"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22" w:type="dxa"/>
            <w:gridSpan w:val="2"/>
          </w:tcPr>
          <w:p w14:paraId="4AF06EC1"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985" w:type="dxa"/>
          </w:tcPr>
          <w:p w14:paraId="04D5D090"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701" w:type="dxa"/>
          </w:tcPr>
          <w:p w14:paraId="19AECDC0"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5ABE9A9A" w14:textId="77777777" w:rsidTr="00351B31">
        <w:trPr>
          <w:trHeight w:val="145"/>
        </w:trPr>
        <w:tc>
          <w:tcPr>
            <w:tcW w:w="1290" w:type="dxa"/>
          </w:tcPr>
          <w:p w14:paraId="4E46AF20" w14:textId="77777777" w:rsidR="002C27EA" w:rsidRPr="004E30A9" w:rsidRDefault="002C27EA" w:rsidP="002C27EA">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Italy (FITD) </w:t>
            </w:r>
          </w:p>
        </w:tc>
        <w:tc>
          <w:tcPr>
            <w:tcW w:w="1290" w:type="dxa"/>
          </w:tcPr>
          <w:p w14:paraId="08B94761"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46F4052B"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1A770D8D"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22" w:type="dxa"/>
            <w:gridSpan w:val="2"/>
          </w:tcPr>
          <w:p w14:paraId="644FA646"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985" w:type="dxa"/>
          </w:tcPr>
          <w:p w14:paraId="5EAAB347"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701" w:type="dxa"/>
          </w:tcPr>
          <w:p w14:paraId="55ACA18E"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41FB9749" w14:textId="77777777" w:rsidTr="00351B31">
        <w:trPr>
          <w:trHeight w:val="158"/>
        </w:trPr>
        <w:tc>
          <w:tcPr>
            <w:tcW w:w="1290" w:type="dxa"/>
          </w:tcPr>
          <w:p w14:paraId="5D3DF3DD" w14:textId="77777777" w:rsidR="002C27EA" w:rsidRPr="004E30A9" w:rsidRDefault="002C27EA" w:rsidP="002C27EA">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Jamaica (JDIC) </w:t>
            </w:r>
          </w:p>
        </w:tc>
        <w:tc>
          <w:tcPr>
            <w:tcW w:w="1290" w:type="dxa"/>
          </w:tcPr>
          <w:p w14:paraId="2CC15109"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0F4E8164"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51C698DE"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22" w:type="dxa"/>
            <w:gridSpan w:val="2"/>
          </w:tcPr>
          <w:p w14:paraId="4AE357B0"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985" w:type="dxa"/>
          </w:tcPr>
          <w:p w14:paraId="0EA7C904"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701" w:type="dxa"/>
          </w:tcPr>
          <w:p w14:paraId="55D75C45"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3B1CDF7E" w14:textId="77777777" w:rsidTr="00351B31">
        <w:trPr>
          <w:trHeight w:val="145"/>
        </w:trPr>
        <w:tc>
          <w:tcPr>
            <w:tcW w:w="1290" w:type="dxa"/>
          </w:tcPr>
          <w:p w14:paraId="6BE7ABA6" w14:textId="77777777" w:rsidR="002C27EA" w:rsidRPr="004E30A9" w:rsidRDefault="00495505" w:rsidP="002C27EA">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Nhật</w:t>
            </w:r>
            <w:r w:rsidR="002C27EA" w:rsidRPr="004E30A9">
              <w:rPr>
                <w:rFonts w:ascii="Segoe UI" w:hAnsi="Segoe UI" w:cs="Segoe UI"/>
                <w:sz w:val="26"/>
                <w:szCs w:val="26"/>
              </w:rPr>
              <w:t xml:space="preserve"> </w:t>
            </w:r>
            <w:r w:rsidRPr="004E30A9">
              <w:rPr>
                <w:rFonts w:ascii="Segoe UI" w:hAnsi="Segoe UI" w:cs="Segoe UI"/>
                <w:sz w:val="26"/>
                <w:szCs w:val="26"/>
              </w:rPr>
              <w:t xml:space="preserve">Quốc </w:t>
            </w:r>
            <w:r w:rsidR="002C27EA" w:rsidRPr="004E30A9">
              <w:rPr>
                <w:rFonts w:ascii="Segoe UI" w:hAnsi="Segoe UI" w:cs="Segoe UI"/>
                <w:sz w:val="26"/>
                <w:szCs w:val="26"/>
              </w:rPr>
              <w:t xml:space="preserve">(DICJ) </w:t>
            </w:r>
          </w:p>
        </w:tc>
        <w:tc>
          <w:tcPr>
            <w:tcW w:w="1290" w:type="dxa"/>
          </w:tcPr>
          <w:p w14:paraId="31B1013B"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6E890CEC"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1AC1A76F"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22" w:type="dxa"/>
            <w:gridSpan w:val="2"/>
          </w:tcPr>
          <w:p w14:paraId="1240FDCE"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985" w:type="dxa"/>
          </w:tcPr>
          <w:p w14:paraId="62558F51"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701" w:type="dxa"/>
          </w:tcPr>
          <w:p w14:paraId="0767FB35"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1FCDA34B" w14:textId="77777777" w:rsidTr="00351B31">
        <w:trPr>
          <w:trHeight w:val="158"/>
        </w:trPr>
        <w:tc>
          <w:tcPr>
            <w:tcW w:w="1290" w:type="dxa"/>
          </w:tcPr>
          <w:p w14:paraId="5DB6CA4D" w14:textId="77777777" w:rsidR="002C27EA" w:rsidRPr="004E30A9" w:rsidRDefault="00495505" w:rsidP="002C27EA">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Hàn Quốc</w:t>
            </w:r>
            <w:r w:rsidR="002C27EA" w:rsidRPr="004E30A9">
              <w:rPr>
                <w:rFonts w:ascii="Segoe UI" w:hAnsi="Segoe UI" w:cs="Segoe UI"/>
                <w:sz w:val="26"/>
                <w:szCs w:val="26"/>
              </w:rPr>
              <w:t xml:space="preserve"> (KDIC) </w:t>
            </w:r>
          </w:p>
        </w:tc>
        <w:tc>
          <w:tcPr>
            <w:tcW w:w="1290" w:type="dxa"/>
          </w:tcPr>
          <w:p w14:paraId="487BCA88"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5015A616"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69917C4C"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22" w:type="dxa"/>
            <w:gridSpan w:val="2"/>
          </w:tcPr>
          <w:p w14:paraId="0D5A5571"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985" w:type="dxa"/>
          </w:tcPr>
          <w:p w14:paraId="5D8C7DC1"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701" w:type="dxa"/>
          </w:tcPr>
          <w:p w14:paraId="71C14DAC"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6AD49CBC" w14:textId="77777777" w:rsidTr="00351B31">
        <w:trPr>
          <w:trHeight w:val="145"/>
        </w:trPr>
        <w:tc>
          <w:tcPr>
            <w:tcW w:w="1290" w:type="dxa"/>
          </w:tcPr>
          <w:p w14:paraId="2EFE25A0" w14:textId="77777777" w:rsidR="002C27EA" w:rsidRPr="004E30A9" w:rsidRDefault="002C27EA" w:rsidP="002C27EA">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Mexico (IPAB) </w:t>
            </w:r>
          </w:p>
        </w:tc>
        <w:tc>
          <w:tcPr>
            <w:tcW w:w="1290" w:type="dxa"/>
          </w:tcPr>
          <w:p w14:paraId="66F6397F"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0F08BD31"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5D4EC489"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22" w:type="dxa"/>
            <w:gridSpan w:val="2"/>
          </w:tcPr>
          <w:p w14:paraId="31D69D67"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985" w:type="dxa"/>
          </w:tcPr>
          <w:p w14:paraId="116145E6"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701" w:type="dxa"/>
          </w:tcPr>
          <w:p w14:paraId="5BC334FC"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633552F4" w14:textId="77777777" w:rsidTr="00351B31">
        <w:trPr>
          <w:trHeight w:val="158"/>
        </w:trPr>
        <w:tc>
          <w:tcPr>
            <w:tcW w:w="1290" w:type="dxa"/>
          </w:tcPr>
          <w:p w14:paraId="798DB56E" w14:textId="77777777" w:rsidR="002C27EA" w:rsidRPr="004E30A9" w:rsidRDefault="002C27EA" w:rsidP="002C27EA">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Moldova (FGDSB) </w:t>
            </w:r>
          </w:p>
        </w:tc>
        <w:tc>
          <w:tcPr>
            <w:tcW w:w="1290" w:type="dxa"/>
          </w:tcPr>
          <w:p w14:paraId="4C7634C5"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6DD3547D"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5F5D20F7"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22" w:type="dxa"/>
            <w:gridSpan w:val="2"/>
          </w:tcPr>
          <w:p w14:paraId="12C6909B"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985" w:type="dxa"/>
          </w:tcPr>
          <w:p w14:paraId="66A63ADC"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701" w:type="dxa"/>
          </w:tcPr>
          <w:p w14:paraId="122CFEBD"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2E3BF908" w14:textId="77777777" w:rsidTr="00351B31">
        <w:trPr>
          <w:trHeight w:val="145"/>
        </w:trPr>
        <w:tc>
          <w:tcPr>
            <w:tcW w:w="1290" w:type="dxa"/>
          </w:tcPr>
          <w:p w14:paraId="0FBC409F" w14:textId="77777777" w:rsidR="00495505" w:rsidRPr="004E30A9" w:rsidRDefault="00495505" w:rsidP="002C27EA">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Mông Cổ </w:t>
            </w:r>
          </w:p>
          <w:p w14:paraId="4407CF68" w14:textId="77777777" w:rsidR="002C27EA" w:rsidRPr="004E30A9" w:rsidRDefault="002C27EA" w:rsidP="002C27EA">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(DICoM) </w:t>
            </w:r>
          </w:p>
        </w:tc>
        <w:tc>
          <w:tcPr>
            <w:tcW w:w="1290" w:type="dxa"/>
          </w:tcPr>
          <w:p w14:paraId="7AAC92BB"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49861ADA"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38C0EDE5"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22" w:type="dxa"/>
            <w:gridSpan w:val="2"/>
          </w:tcPr>
          <w:p w14:paraId="5C7335B8"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985" w:type="dxa"/>
          </w:tcPr>
          <w:p w14:paraId="4AE0B147"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701" w:type="dxa"/>
          </w:tcPr>
          <w:p w14:paraId="28FDDE0A"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6A3054E8" w14:textId="77777777" w:rsidTr="00351B31">
        <w:trPr>
          <w:trHeight w:val="157"/>
        </w:trPr>
        <w:tc>
          <w:tcPr>
            <w:tcW w:w="1290" w:type="dxa"/>
          </w:tcPr>
          <w:p w14:paraId="4DCD61C0" w14:textId="77777777" w:rsidR="002C27EA" w:rsidRPr="004E30A9" w:rsidRDefault="002C27EA" w:rsidP="002C27EA">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Morocco (SGFG) </w:t>
            </w:r>
          </w:p>
        </w:tc>
        <w:tc>
          <w:tcPr>
            <w:tcW w:w="1290" w:type="dxa"/>
          </w:tcPr>
          <w:p w14:paraId="5B2BE548"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3E07CF87"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4CB135C0"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22" w:type="dxa"/>
            <w:gridSpan w:val="2"/>
          </w:tcPr>
          <w:p w14:paraId="4567DA12"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985" w:type="dxa"/>
          </w:tcPr>
          <w:p w14:paraId="3C25BDC7"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701" w:type="dxa"/>
          </w:tcPr>
          <w:p w14:paraId="0EEE61F3"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02D1AB94" w14:textId="77777777" w:rsidTr="00351B31">
        <w:trPr>
          <w:trHeight w:val="145"/>
        </w:trPr>
        <w:tc>
          <w:tcPr>
            <w:tcW w:w="1290" w:type="dxa"/>
          </w:tcPr>
          <w:p w14:paraId="5B3639DF" w14:textId="77777777" w:rsidR="002C27EA" w:rsidRPr="004E30A9" w:rsidRDefault="002C27EA" w:rsidP="002C27EA">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Nigeria (NDIC) </w:t>
            </w:r>
          </w:p>
        </w:tc>
        <w:tc>
          <w:tcPr>
            <w:tcW w:w="1290" w:type="dxa"/>
          </w:tcPr>
          <w:p w14:paraId="4A5707F0"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07D8598F"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11F06E7C"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22" w:type="dxa"/>
            <w:gridSpan w:val="2"/>
          </w:tcPr>
          <w:p w14:paraId="4FCB52FA"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985" w:type="dxa"/>
          </w:tcPr>
          <w:p w14:paraId="463B290C"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701" w:type="dxa"/>
          </w:tcPr>
          <w:p w14:paraId="66A27E3C"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21ACA2B0" w14:textId="77777777" w:rsidTr="00351B31">
        <w:trPr>
          <w:trHeight w:val="157"/>
        </w:trPr>
        <w:tc>
          <w:tcPr>
            <w:tcW w:w="1290" w:type="dxa"/>
          </w:tcPr>
          <w:p w14:paraId="40AFEFD5" w14:textId="77777777" w:rsidR="002C27EA" w:rsidRPr="004E30A9" w:rsidRDefault="00495505" w:rsidP="002C27EA">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Na uy</w:t>
            </w:r>
            <w:r w:rsidR="002C27EA" w:rsidRPr="004E30A9">
              <w:rPr>
                <w:rFonts w:ascii="Segoe UI" w:hAnsi="Segoe UI" w:cs="Segoe UI"/>
                <w:sz w:val="26"/>
                <w:szCs w:val="26"/>
              </w:rPr>
              <w:t xml:space="preserve"> (NBGF) </w:t>
            </w:r>
          </w:p>
        </w:tc>
        <w:tc>
          <w:tcPr>
            <w:tcW w:w="1290" w:type="dxa"/>
          </w:tcPr>
          <w:p w14:paraId="38909885"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1E380481"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661188B3"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22" w:type="dxa"/>
            <w:gridSpan w:val="2"/>
          </w:tcPr>
          <w:p w14:paraId="49B631F0"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985" w:type="dxa"/>
          </w:tcPr>
          <w:p w14:paraId="6DA6A824"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701" w:type="dxa"/>
          </w:tcPr>
          <w:p w14:paraId="2D8D52C2"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5FF9D93D" w14:textId="77777777" w:rsidTr="00351B31">
        <w:trPr>
          <w:trHeight w:val="145"/>
        </w:trPr>
        <w:tc>
          <w:tcPr>
            <w:tcW w:w="1290" w:type="dxa"/>
          </w:tcPr>
          <w:p w14:paraId="76E9F4FA" w14:textId="77777777" w:rsidR="002C27EA" w:rsidRPr="004E30A9" w:rsidRDefault="00495505" w:rsidP="002C27EA">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Bắc Lan</w:t>
            </w:r>
            <w:r w:rsidR="002C27EA" w:rsidRPr="004E30A9">
              <w:rPr>
                <w:rFonts w:ascii="Segoe UI" w:hAnsi="Segoe UI" w:cs="Segoe UI"/>
                <w:sz w:val="26"/>
                <w:szCs w:val="26"/>
              </w:rPr>
              <w:t xml:space="preserve"> (BFG) </w:t>
            </w:r>
          </w:p>
        </w:tc>
        <w:tc>
          <w:tcPr>
            <w:tcW w:w="1290" w:type="dxa"/>
          </w:tcPr>
          <w:p w14:paraId="0868201F"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1DA4FE22"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5DB63305"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22" w:type="dxa"/>
            <w:gridSpan w:val="2"/>
          </w:tcPr>
          <w:p w14:paraId="31D02A66"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985" w:type="dxa"/>
          </w:tcPr>
          <w:p w14:paraId="19F74DE5"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701" w:type="dxa"/>
          </w:tcPr>
          <w:p w14:paraId="3F73FE91"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7A327672" w14:textId="77777777" w:rsidTr="00351B31">
        <w:trPr>
          <w:trHeight w:val="157"/>
        </w:trPr>
        <w:tc>
          <w:tcPr>
            <w:tcW w:w="1290" w:type="dxa"/>
          </w:tcPr>
          <w:p w14:paraId="0F0FEDD4" w14:textId="77777777" w:rsidR="002C27EA" w:rsidRPr="004E30A9" w:rsidRDefault="00495505" w:rsidP="002C27EA">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Nga</w:t>
            </w:r>
            <w:r w:rsidR="002C27EA" w:rsidRPr="004E30A9">
              <w:rPr>
                <w:rFonts w:ascii="Segoe UI" w:hAnsi="Segoe UI" w:cs="Segoe UI"/>
                <w:sz w:val="26"/>
                <w:szCs w:val="26"/>
              </w:rPr>
              <w:t xml:space="preserve"> (ASV) </w:t>
            </w:r>
          </w:p>
        </w:tc>
        <w:tc>
          <w:tcPr>
            <w:tcW w:w="1290" w:type="dxa"/>
          </w:tcPr>
          <w:p w14:paraId="71238A5F"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7B804CBA"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040C8345"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22" w:type="dxa"/>
            <w:gridSpan w:val="2"/>
          </w:tcPr>
          <w:p w14:paraId="6F149FBE"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985" w:type="dxa"/>
          </w:tcPr>
          <w:p w14:paraId="05412647"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701" w:type="dxa"/>
          </w:tcPr>
          <w:p w14:paraId="2F6614A3"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0EB630E4" w14:textId="77777777" w:rsidTr="00351B31">
        <w:trPr>
          <w:trHeight w:val="145"/>
        </w:trPr>
        <w:tc>
          <w:tcPr>
            <w:tcW w:w="1290" w:type="dxa"/>
          </w:tcPr>
          <w:p w14:paraId="7CF6ED52" w14:textId="77777777" w:rsidR="002C27EA" w:rsidRPr="004E30A9" w:rsidRDefault="002C27EA" w:rsidP="002C27EA">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Serbia (AOD) </w:t>
            </w:r>
          </w:p>
        </w:tc>
        <w:tc>
          <w:tcPr>
            <w:tcW w:w="1290" w:type="dxa"/>
          </w:tcPr>
          <w:p w14:paraId="27FB5103"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6F5F9B0E"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41CC666A"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22" w:type="dxa"/>
            <w:gridSpan w:val="2"/>
          </w:tcPr>
          <w:p w14:paraId="5981D3C9"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985" w:type="dxa"/>
          </w:tcPr>
          <w:p w14:paraId="64A6B9B5"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701" w:type="dxa"/>
          </w:tcPr>
          <w:p w14:paraId="6B2F3FF9"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518BA330" w14:textId="77777777" w:rsidTr="00351B31">
        <w:trPr>
          <w:trHeight w:val="157"/>
        </w:trPr>
        <w:tc>
          <w:tcPr>
            <w:tcW w:w="1290" w:type="dxa"/>
          </w:tcPr>
          <w:p w14:paraId="7E7E50D9" w14:textId="77777777" w:rsidR="002C27EA" w:rsidRPr="004E30A9" w:rsidRDefault="002C27EA" w:rsidP="002C27EA">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Singapore (SDIC) </w:t>
            </w:r>
          </w:p>
        </w:tc>
        <w:tc>
          <w:tcPr>
            <w:tcW w:w="1290" w:type="dxa"/>
          </w:tcPr>
          <w:p w14:paraId="4EF0939C"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7E5BAE65"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1E3E5A05"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22" w:type="dxa"/>
            <w:gridSpan w:val="2"/>
          </w:tcPr>
          <w:p w14:paraId="591038EC"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985" w:type="dxa"/>
          </w:tcPr>
          <w:p w14:paraId="5E649E08"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701" w:type="dxa"/>
          </w:tcPr>
          <w:p w14:paraId="550F931D"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6A28D150" w14:textId="77777777" w:rsidTr="00351B31">
        <w:trPr>
          <w:trHeight w:val="145"/>
        </w:trPr>
        <w:tc>
          <w:tcPr>
            <w:tcW w:w="1290" w:type="dxa"/>
          </w:tcPr>
          <w:p w14:paraId="7500589A" w14:textId="77777777" w:rsidR="002C27EA" w:rsidRPr="004E30A9" w:rsidRDefault="00495505" w:rsidP="002C27EA">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Thổ Nhĩ Kỳ</w:t>
            </w:r>
            <w:r w:rsidR="002C27EA" w:rsidRPr="004E30A9">
              <w:rPr>
                <w:rFonts w:ascii="Segoe UI" w:hAnsi="Segoe UI" w:cs="Segoe UI"/>
                <w:sz w:val="26"/>
                <w:szCs w:val="26"/>
              </w:rPr>
              <w:t xml:space="preserve"> (SDIF) </w:t>
            </w:r>
          </w:p>
        </w:tc>
        <w:tc>
          <w:tcPr>
            <w:tcW w:w="1290" w:type="dxa"/>
          </w:tcPr>
          <w:p w14:paraId="295408ED"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17E7450A"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1E505B6A"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22" w:type="dxa"/>
            <w:gridSpan w:val="2"/>
          </w:tcPr>
          <w:p w14:paraId="0BCFAFA0"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985" w:type="dxa"/>
          </w:tcPr>
          <w:p w14:paraId="399156DB"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701" w:type="dxa"/>
          </w:tcPr>
          <w:p w14:paraId="17BDDF36"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458B3AD3" w14:textId="77777777" w:rsidTr="00351B31">
        <w:trPr>
          <w:trHeight w:val="157"/>
        </w:trPr>
        <w:tc>
          <w:tcPr>
            <w:tcW w:w="1290" w:type="dxa"/>
          </w:tcPr>
          <w:p w14:paraId="3AF2DAD5" w14:textId="77777777" w:rsidR="002C27EA" w:rsidRPr="004E30A9" w:rsidRDefault="002C27EA" w:rsidP="002C27EA">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UK (FSCS) </w:t>
            </w:r>
          </w:p>
        </w:tc>
        <w:tc>
          <w:tcPr>
            <w:tcW w:w="1290" w:type="dxa"/>
          </w:tcPr>
          <w:p w14:paraId="11C1DF05"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55957AC9"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62946528"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22" w:type="dxa"/>
            <w:gridSpan w:val="2"/>
          </w:tcPr>
          <w:p w14:paraId="71F99E33"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985" w:type="dxa"/>
          </w:tcPr>
          <w:p w14:paraId="1036EF3C"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701" w:type="dxa"/>
          </w:tcPr>
          <w:p w14:paraId="26848912"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1BD19949" w14:textId="77777777" w:rsidTr="00351B31">
        <w:trPr>
          <w:trHeight w:val="145"/>
        </w:trPr>
        <w:tc>
          <w:tcPr>
            <w:tcW w:w="1290" w:type="dxa"/>
          </w:tcPr>
          <w:p w14:paraId="095C8ED7" w14:textId="77777777" w:rsidR="002C27EA" w:rsidRPr="004E30A9" w:rsidRDefault="002C27EA" w:rsidP="002C27EA">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Uruguay (COPAB) </w:t>
            </w:r>
          </w:p>
        </w:tc>
        <w:tc>
          <w:tcPr>
            <w:tcW w:w="1290" w:type="dxa"/>
          </w:tcPr>
          <w:p w14:paraId="3EE08DF2"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47B24D76"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1E528BD3"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22" w:type="dxa"/>
            <w:gridSpan w:val="2"/>
          </w:tcPr>
          <w:p w14:paraId="5FCADCF7"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985" w:type="dxa"/>
          </w:tcPr>
          <w:p w14:paraId="048BDC3B"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701" w:type="dxa"/>
          </w:tcPr>
          <w:p w14:paraId="048C7783"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06368A25" w14:textId="77777777" w:rsidTr="00351B31">
        <w:trPr>
          <w:trHeight w:val="158"/>
        </w:trPr>
        <w:tc>
          <w:tcPr>
            <w:tcW w:w="1290" w:type="dxa"/>
          </w:tcPr>
          <w:p w14:paraId="52F23DF1" w14:textId="77777777" w:rsidR="002C27EA" w:rsidRPr="004E30A9" w:rsidRDefault="002C27EA" w:rsidP="002C27EA">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lastRenderedPageBreak/>
              <w:t xml:space="preserve">US (FDIC) </w:t>
            </w:r>
          </w:p>
        </w:tc>
        <w:tc>
          <w:tcPr>
            <w:tcW w:w="1290" w:type="dxa"/>
          </w:tcPr>
          <w:p w14:paraId="323F17C6"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397FDCE0"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79493DF6"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322" w:type="dxa"/>
            <w:gridSpan w:val="2"/>
          </w:tcPr>
          <w:p w14:paraId="09DAF63D"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985" w:type="dxa"/>
          </w:tcPr>
          <w:p w14:paraId="30253CFB"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701" w:type="dxa"/>
          </w:tcPr>
          <w:p w14:paraId="1FA13337" w14:textId="77777777" w:rsidR="002C27EA" w:rsidRPr="004E30A9" w:rsidRDefault="002C27EA" w:rsidP="002C27EA">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7AAD242B" w14:textId="77777777" w:rsidTr="000F5E8C">
        <w:trPr>
          <w:trHeight w:val="547"/>
        </w:trPr>
        <w:tc>
          <w:tcPr>
            <w:tcW w:w="10168" w:type="dxa"/>
            <w:gridSpan w:val="8"/>
          </w:tcPr>
          <w:p w14:paraId="755E53A7" w14:textId="77777777" w:rsidR="002C27EA" w:rsidRPr="004E30A9" w:rsidRDefault="00495505" w:rsidP="002C27EA">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Những quỹ BHTG không được sử dụng nguồn lực cho việc chuyển nhượng</w:t>
            </w:r>
            <w:r w:rsidR="002C27EA" w:rsidRPr="004E30A9">
              <w:rPr>
                <w:rFonts w:ascii="Times New Roman" w:hAnsi="Times New Roman" w:cs="Times New Roman"/>
                <w:sz w:val="26"/>
                <w:szCs w:val="26"/>
              </w:rPr>
              <w:t xml:space="preserve">: DIC-BS (Bahamas), FGC (Brazil), COSEDE (Ecuador), BVR (Germany), FGD (Spain), SLDIS (Sri Lanka). </w:t>
            </w:r>
          </w:p>
          <w:p w14:paraId="3EBC1FEF" w14:textId="77777777" w:rsidR="002C27EA" w:rsidRPr="004E30A9" w:rsidRDefault="00495505" w:rsidP="002C27EA">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Tây Ban Nha</w:t>
            </w:r>
            <w:r w:rsidR="002C27EA" w:rsidRPr="004E30A9">
              <w:rPr>
                <w:rFonts w:ascii="Times New Roman" w:hAnsi="Times New Roman" w:cs="Times New Roman"/>
                <w:sz w:val="26"/>
                <w:szCs w:val="26"/>
              </w:rPr>
              <w:t xml:space="preserve"> FGD </w:t>
            </w:r>
            <w:r w:rsidRPr="004E30A9">
              <w:rPr>
                <w:rFonts w:ascii="Times New Roman" w:hAnsi="Times New Roman" w:cs="Times New Roman"/>
                <w:sz w:val="26"/>
                <w:szCs w:val="26"/>
              </w:rPr>
              <w:t>có thể cấp vốn cho các khoản chuyển tiền như một biện pháp ngăn chặn sự phá sản của một ngân hàng thành viên, nhưng không thể cấp vốn cho các khoản chuyển tiền trong bối cảnh thự hiện thủ tục phá sản</w:t>
            </w:r>
          </w:p>
          <w:p w14:paraId="5221EDD0" w14:textId="77777777" w:rsidR="002C27EA" w:rsidRPr="004E30A9" w:rsidRDefault="002C27EA" w:rsidP="002C27EA">
            <w:pPr>
              <w:autoSpaceDE w:val="0"/>
              <w:autoSpaceDN w:val="0"/>
              <w:adjustRightInd w:val="0"/>
              <w:spacing w:after="0" w:line="240" w:lineRule="auto"/>
              <w:rPr>
                <w:rFonts w:ascii="Segoe UI" w:hAnsi="Segoe UI" w:cs="Segoe UI"/>
                <w:sz w:val="26"/>
                <w:szCs w:val="26"/>
              </w:rPr>
            </w:pPr>
            <w:r w:rsidRPr="004E30A9">
              <w:rPr>
                <w:rFonts w:ascii="Times New Roman" w:hAnsi="Times New Roman" w:cs="Times New Roman"/>
                <w:sz w:val="26"/>
                <w:szCs w:val="26"/>
              </w:rPr>
              <w:t>Source: 2019 ad hoc survey and IADI (2018).</w:t>
            </w:r>
            <w:r w:rsidRPr="004E30A9">
              <w:rPr>
                <w:rFonts w:ascii="Segoe UI" w:hAnsi="Segoe UI" w:cs="Segoe UI"/>
                <w:sz w:val="26"/>
                <w:szCs w:val="26"/>
              </w:rPr>
              <w:t xml:space="preserve"> </w:t>
            </w:r>
          </w:p>
        </w:tc>
      </w:tr>
    </w:tbl>
    <w:p w14:paraId="5F517D21" w14:textId="77777777" w:rsidR="00FB6E29" w:rsidRPr="004E30A9" w:rsidRDefault="00FB6E29" w:rsidP="00382F31">
      <w:pPr>
        <w:rPr>
          <w:rFonts w:ascii="Times New Roman" w:hAnsi="Times New Roman" w:cs="Times New Roman"/>
          <w:sz w:val="26"/>
          <w:szCs w:val="26"/>
        </w:rPr>
      </w:pPr>
    </w:p>
    <w:p w14:paraId="06E8E0F2" w14:textId="565B5236" w:rsidR="00913AC7" w:rsidRPr="004E30A9" w:rsidRDefault="000F5E8C" w:rsidP="003D6725">
      <w:pPr>
        <w:ind w:firstLine="720"/>
        <w:jc w:val="both"/>
        <w:rPr>
          <w:rFonts w:ascii="Times New Roman" w:hAnsi="Times New Roman" w:cs="Times New Roman"/>
          <w:sz w:val="26"/>
          <w:szCs w:val="26"/>
        </w:rPr>
      </w:pPr>
      <w:r w:rsidRPr="004E30A9">
        <w:rPr>
          <w:rFonts w:ascii="Times New Roman" w:hAnsi="Times New Roman" w:cs="Times New Roman"/>
          <w:sz w:val="26"/>
          <w:szCs w:val="26"/>
        </w:rPr>
        <w:t>Việc tài trợ của BHTG cho các giao dịch P&amp;A có thể diễn ra dưới nhiều hình thức khác nhau. Một số BGTH chỉ có thể cung cấp tiền mặt cho ngân hàng tiếp nhận (ví dụ: AOD (Serbia), IDIC (Indonesia)), trong khi các BHTG khác có nhiều lựa chọn hơn, bao gồm mua tài sản từ ngân hàng bị phá sản (ví dụ: DICJ (Nhật Bản), KDIC (Hàn Quốc)), các thỏa thuận chia sẻ tổn thất</w:t>
      </w:r>
      <w:r w:rsidRPr="004E30A9">
        <w:rPr>
          <w:rStyle w:val="FootnoteReference"/>
          <w:rFonts w:ascii="Times New Roman" w:hAnsi="Times New Roman" w:cs="Times New Roman"/>
          <w:sz w:val="26"/>
          <w:szCs w:val="26"/>
        </w:rPr>
        <w:footnoteReference w:id="5"/>
      </w:r>
      <w:r w:rsidRPr="004E30A9">
        <w:rPr>
          <w:rFonts w:ascii="Times New Roman" w:hAnsi="Times New Roman" w:cs="Times New Roman"/>
          <w:sz w:val="26"/>
          <w:szCs w:val="26"/>
        </w:rPr>
        <w:t xml:space="preserve"> (ví dụ: CDIC (Canada), FDIC (Hoa Kỳ), IPAB (Mexico), SDIC (Singapore)) và cung cấp bảo lãnh (ví dụ: CDIC, Fogafín (Colombia)). Một số BHTG cung cấp các khoản vay thế chấp (ví dụ: JDIC (Jamaica), SLDIS (Sri Lanka)). Hầu hết các BHTG có thể tài trợ cho các khoản chuyển nhượng đều có một số linh hoạt về hình thức cung cấp hỗ trợ đó. Ví dụ, CDIC có quyền hạn rộng rãi để cung cấp tài trợ, bao gồm bảo lãnh có hoặc không có bảo đảm và tham gia vào các thỏa thuận cần thiết, bao gồm chia sẻ tổn thất; FITD (Ý) có thể cung cấp tiền mặt hoặc bảo lãnh cho bên mua; JDIC có thể cung cấp các khoản vay trên cơ sở bảo đảm hoặc bảo lãnh; và SDIC có thể hỗ trợ chuyển nhượng bằng tiền mặt, bảo lãnh hoặc thỏa thuận chia sẻ tổn thất. Phụ lục 2 mô tả các hoạt động của FDIC và FGD (Tây Ban Nha) liên quan đến hỗ trợ tài chính cho các giao dịch P&amp;A</w:t>
      </w:r>
      <w:r w:rsidR="00BB79B2" w:rsidRPr="004E30A9">
        <w:rPr>
          <w:rFonts w:ascii="Times New Roman" w:hAnsi="Times New Roman" w:cs="Times New Roman"/>
          <w:sz w:val="26"/>
          <w:szCs w:val="26"/>
        </w:rPr>
        <w:t>.</w:t>
      </w:r>
    </w:p>
    <w:p w14:paraId="5C2B4B18" w14:textId="77777777" w:rsidR="00BB79B2" w:rsidRPr="004E30A9" w:rsidRDefault="00ED57FE" w:rsidP="00BB79B2">
      <w:pPr>
        <w:ind w:firstLine="720"/>
        <w:jc w:val="both"/>
        <w:rPr>
          <w:rFonts w:ascii="Times New Roman" w:hAnsi="Times New Roman" w:cs="Times New Roman"/>
          <w:b/>
          <w:sz w:val="26"/>
          <w:szCs w:val="26"/>
        </w:rPr>
      </w:pPr>
      <w:r w:rsidRPr="004E30A9">
        <w:rPr>
          <w:rFonts w:ascii="Times New Roman" w:hAnsi="Times New Roman" w:cs="Times New Roman"/>
          <w:b/>
          <w:sz w:val="26"/>
          <w:szCs w:val="26"/>
        </w:rPr>
        <w:t>3</w:t>
      </w:r>
      <w:r w:rsidR="00BB79B2" w:rsidRPr="004E30A9">
        <w:rPr>
          <w:rFonts w:ascii="Times New Roman" w:hAnsi="Times New Roman" w:cs="Times New Roman"/>
          <w:b/>
          <w:sz w:val="26"/>
          <w:szCs w:val="26"/>
        </w:rPr>
        <w:t>. Ngân hàng bắc cầu (Bridge Bank – BB):</w:t>
      </w:r>
    </w:p>
    <w:p w14:paraId="03ECC318" w14:textId="77777777" w:rsidR="00BB79B2" w:rsidRPr="004E30A9" w:rsidRDefault="00BB79B2" w:rsidP="00BB79B2">
      <w:pPr>
        <w:ind w:firstLine="720"/>
        <w:jc w:val="both"/>
        <w:rPr>
          <w:rFonts w:ascii="Times New Roman" w:hAnsi="Times New Roman" w:cs="Times New Roman"/>
          <w:sz w:val="26"/>
          <w:szCs w:val="26"/>
        </w:rPr>
      </w:pPr>
      <w:r w:rsidRPr="004E30A9">
        <w:rPr>
          <w:rFonts w:ascii="Times New Roman" w:hAnsi="Times New Roman" w:cs="Times New Roman"/>
          <w:sz w:val="26"/>
          <w:szCs w:val="26"/>
        </w:rPr>
        <w:t xml:space="preserve">Trong một số trường hợp, nguồn lực BHTG cũng có thể được sử dụng để tài trợ cho giao dịch BB nếu khuôn khổ pháp lý cho phép. </w:t>
      </w:r>
      <w:r w:rsidR="00B739FF" w:rsidRPr="004E30A9">
        <w:rPr>
          <w:rFonts w:ascii="Times New Roman" w:hAnsi="Times New Roman" w:cs="Times New Roman"/>
          <w:sz w:val="26"/>
          <w:szCs w:val="26"/>
        </w:rPr>
        <w:t xml:space="preserve">BB được sử dụng khi </w:t>
      </w:r>
      <w:r w:rsidRPr="004E30A9">
        <w:rPr>
          <w:rFonts w:ascii="Times New Roman" w:hAnsi="Times New Roman" w:cs="Times New Roman"/>
          <w:sz w:val="26"/>
          <w:szCs w:val="26"/>
        </w:rPr>
        <w:t xml:space="preserve">không có </w:t>
      </w:r>
      <w:r w:rsidR="00B739FF" w:rsidRPr="004E30A9">
        <w:rPr>
          <w:rFonts w:ascii="Times New Roman" w:hAnsi="Times New Roman" w:cs="Times New Roman"/>
          <w:sz w:val="26"/>
          <w:szCs w:val="26"/>
        </w:rPr>
        <w:t>bên</w:t>
      </w:r>
      <w:r w:rsidRPr="004E30A9">
        <w:rPr>
          <w:rFonts w:ascii="Times New Roman" w:hAnsi="Times New Roman" w:cs="Times New Roman"/>
          <w:sz w:val="26"/>
          <w:szCs w:val="26"/>
        </w:rPr>
        <w:t xml:space="preserve"> mua ngay lập tức cho giao dị</w:t>
      </w:r>
      <w:r w:rsidR="00B739FF" w:rsidRPr="004E30A9">
        <w:rPr>
          <w:rFonts w:ascii="Times New Roman" w:hAnsi="Times New Roman" w:cs="Times New Roman"/>
          <w:sz w:val="26"/>
          <w:szCs w:val="26"/>
        </w:rPr>
        <w:t xml:space="preserve">ch P&amp;A; khi đó, </w:t>
      </w:r>
      <w:r w:rsidRPr="004E30A9">
        <w:rPr>
          <w:rFonts w:ascii="Times New Roman" w:hAnsi="Times New Roman" w:cs="Times New Roman"/>
          <w:sz w:val="26"/>
          <w:szCs w:val="26"/>
        </w:rPr>
        <w:t>tiền gửi và các khoản nợ phải trả được bảo đảm bằng tài sản, có thể được chuyển cho một thực thể tạm thờ</w:t>
      </w:r>
      <w:r w:rsidR="00B739FF" w:rsidRPr="004E30A9">
        <w:rPr>
          <w:rFonts w:ascii="Times New Roman" w:hAnsi="Times New Roman" w:cs="Times New Roman"/>
          <w:sz w:val="26"/>
          <w:szCs w:val="26"/>
        </w:rPr>
        <w:t>i là ngân hàng bắc cầu. Đ</w:t>
      </w:r>
      <w:r w:rsidRPr="004E30A9">
        <w:rPr>
          <w:rFonts w:ascii="Times New Roman" w:hAnsi="Times New Roman" w:cs="Times New Roman"/>
          <w:sz w:val="26"/>
          <w:szCs w:val="26"/>
        </w:rPr>
        <w:t xml:space="preserve">iều này </w:t>
      </w:r>
      <w:r w:rsidR="00B739FF" w:rsidRPr="004E30A9">
        <w:rPr>
          <w:rFonts w:ascii="Times New Roman" w:hAnsi="Times New Roman" w:cs="Times New Roman"/>
          <w:sz w:val="26"/>
          <w:szCs w:val="26"/>
        </w:rPr>
        <w:t>bảo đảm người gửi tiền được tiếp tục tiếp cận khoản</w:t>
      </w:r>
      <w:r w:rsidRPr="004E30A9">
        <w:rPr>
          <w:rFonts w:ascii="Times New Roman" w:hAnsi="Times New Roman" w:cs="Times New Roman"/>
          <w:sz w:val="26"/>
          <w:szCs w:val="26"/>
        </w:rPr>
        <w:t xml:space="preserve"> tiền gửi cho đến khi tìm được người mua, </w:t>
      </w:r>
      <w:r w:rsidR="00B739FF" w:rsidRPr="004E30A9">
        <w:rPr>
          <w:rFonts w:ascii="Times New Roman" w:hAnsi="Times New Roman" w:cs="Times New Roman"/>
          <w:sz w:val="26"/>
          <w:szCs w:val="26"/>
        </w:rPr>
        <w:t>BHTG</w:t>
      </w:r>
      <w:r w:rsidRPr="004E30A9">
        <w:rPr>
          <w:rFonts w:ascii="Times New Roman" w:hAnsi="Times New Roman" w:cs="Times New Roman"/>
          <w:sz w:val="26"/>
          <w:szCs w:val="26"/>
        </w:rPr>
        <w:t xml:space="preserve"> có thể hoàn thành mục tiêu bảo vệ người gửi tiền của mình bằng cách cung cấp tiền để bù đắp khoản thiếu hụt giữa tài sản và nợ phải trả </w:t>
      </w:r>
      <w:r w:rsidR="00B739FF" w:rsidRPr="004E30A9">
        <w:rPr>
          <w:rFonts w:ascii="Times New Roman" w:hAnsi="Times New Roman" w:cs="Times New Roman"/>
          <w:sz w:val="26"/>
          <w:szCs w:val="26"/>
        </w:rPr>
        <w:t>để thực hiện</w:t>
      </w:r>
      <w:r w:rsidRPr="004E30A9">
        <w:rPr>
          <w:rFonts w:ascii="Times New Roman" w:hAnsi="Times New Roman" w:cs="Times New Roman"/>
          <w:sz w:val="26"/>
          <w:szCs w:val="26"/>
        </w:rPr>
        <w:t xml:space="preserve"> chuyển nhượng.</w:t>
      </w:r>
    </w:p>
    <w:p w14:paraId="2D052E5C" w14:textId="77777777" w:rsidR="00B739FF" w:rsidRPr="004E30A9" w:rsidRDefault="00B739FF" w:rsidP="00BB79B2">
      <w:pPr>
        <w:ind w:firstLine="720"/>
        <w:jc w:val="both"/>
        <w:rPr>
          <w:rFonts w:ascii="Times New Roman" w:hAnsi="Times New Roman" w:cs="Times New Roman"/>
          <w:sz w:val="26"/>
          <w:szCs w:val="26"/>
        </w:rPr>
      </w:pPr>
      <w:r w:rsidRPr="004E30A9">
        <w:rPr>
          <w:rFonts w:ascii="Times New Roman" w:hAnsi="Times New Roman" w:cs="Times New Roman"/>
          <w:sz w:val="26"/>
          <w:szCs w:val="26"/>
        </w:rPr>
        <w:lastRenderedPageBreak/>
        <w:t xml:space="preserve">Thực tế, ít BHTG có khả năng tài trợ cho giao dịch BB hơn là tài trợ cho P&amp;A. Trong số 21 tổ chức BHTG có khả năng tài trợ cho các giao dịch BB, 20 có thể chi trả cho việc chuyển tiền gửi được bảo hiểm, 10 có thể tài trợ cho việc chuyển tất cả các khoản tiền gửi và chỉ có </w:t>
      </w:r>
      <w:r w:rsidR="008E5934" w:rsidRPr="004E30A9">
        <w:rPr>
          <w:rFonts w:ascii="Times New Roman" w:hAnsi="Times New Roman" w:cs="Times New Roman"/>
          <w:sz w:val="26"/>
          <w:szCs w:val="26"/>
        </w:rPr>
        <w:t xml:space="preserve">8 </w:t>
      </w:r>
      <w:r w:rsidRPr="004E30A9">
        <w:rPr>
          <w:rFonts w:ascii="Times New Roman" w:hAnsi="Times New Roman" w:cs="Times New Roman"/>
          <w:sz w:val="26"/>
          <w:szCs w:val="26"/>
        </w:rPr>
        <w:t>có thể hỗ trợ việc chuyển tất cả các khoản nợ phải trả</w:t>
      </w:r>
      <w:r w:rsidR="008E5934" w:rsidRPr="004E30A9">
        <w:rPr>
          <w:rFonts w:ascii="Times New Roman" w:hAnsi="Times New Roman" w:cs="Times New Roman"/>
          <w:sz w:val="26"/>
          <w:szCs w:val="26"/>
        </w:rPr>
        <w:t>. Việc hỗ trợ có thể có nhiều hình thức khác nhau, chẳng hạn như các khoản tài trợ tiền tệ cho ngân hàng bắc cầu, mua tài sản từ ngân hàng bắc cầu và tăng vốn trong ngân hàng bắc cầu. Giống như trong giao dịch P&amp;A, tính khả thi của giao dịch BB bị ảnh hưởng bởi các ràng buộc, chẳng hạn như chi phí của các tùy chọn thanh lý thay thế và quyền hạn của BHTG.</w:t>
      </w:r>
    </w:p>
    <w:tbl>
      <w:tblPr>
        <w:tblW w:w="9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0"/>
        <w:gridCol w:w="1290"/>
        <w:gridCol w:w="1290"/>
        <w:gridCol w:w="1290"/>
        <w:gridCol w:w="46"/>
        <w:gridCol w:w="1244"/>
        <w:gridCol w:w="32"/>
        <w:gridCol w:w="1985"/>
        <w:gridCol w:w="1417"/>
      </w:tblGrid>
      <w:tr w:rsidR="004D2F23" w:rsidRPr="00EB6ED7" w14:paraId="6522BAD7" w14:textId="77777777" w:rsidTr="007E57F8">
        <w:trPr>
          <w:trHeight w:val="188"/>
        </w:trPr>
        <w:tc>
          <w:tcPr>
            <w:tcW w:w="9884" w:type="dxa"/>
            <w:gridSpan w:val="9"/>
          </w:tcPr>
          <w:p w14:paraId="3AD05391" w14:textId="77777777" w:rsidR="00621B44" w:rsidRPr="004E30A9" w:rsidRDefault="001943B5" w:rsidP="00621B44">
            <w:pPr>
              <w:autoSpaceDE w:val="0"/>
              <w:autoSpaceDN w:val="0"/>
              <w:adjustRightInd w:val="0"/>
              <w:spacing w:after="0" w:line="240" w:lineRule="auto"/>
              <w:jc w:val="center"/>
              <w:rPr>
                <w:rFonts w:ascii="Times New Roman" w:hAnsi="Times New Roman" w:cs="Times New Roman"/>
                <w:b/>
                <w:sz w:val="26"/>
                <w:szCs w:val="26"/>
              </w:rPr>
            </w:pPr>
            <w:r w:rsidRPr="004E30A9">
              <w:rPr>
                <w:rFonts w:ascii="Times New Roman" w:hAnsi="Times New Roman" w:cs="Times New Roman"/>
                <w:b/>
                <w:sz w:val="26"/>
                <w:szCs w:val="26"/>
              </w:rPr>
              <w:t>NGÂN HÀNG BẮC CẦU</w:t>
            </w:r>
          </w:p>
        </w:tc>
      </w:tr>
      <w:tr w:rsidR="004D2F23" w:rsidRPr="00EB6ED7" w14:paraId="01F9FD75" w14:textId="77777777" w:rsidTr="007E57F8">
        <w:trPr>
          <w:trHeight w:val="258"/>
        </w:trPr>
        <w:tc>
          <w:tcPr>
            <w:tcW w:w="5206" w:type="dxa"/>
            <w:gridSpan w:val="5"/>
          </w:tcPr>
          <w:p w14:paraId="0066A9CB" w14:textId="77777777" w:rsidR="008E5934" w:rsidRPr="004E30A9" w:rsidRDefault="007E57F8" w:rsidP="007E57F8">
            <w:pPr>
              <w:autoSpaceDE w:val="0"/>
              <w:autoSpaceDN w:val="0"/>
              <w:adjustRightInd w:val="0"/>
              <w:spacing w:after="0" w:line="240" w:lineRule="auto"/>
              <w:jc w:val="center"/>
              <w:rPr>
                <w:rFonts w:ascii="Times New Roman" w:hAnsi="Times New Roman" w:cs="Times New Roman"/>
                <w:b/>
                <w:sz w:val="26"/>
                <w:szCs w:val="26"/>
              </w:rPr>
            </w:pPr>
            <w:r w:rsidRPr="004E30A9">
              <w:rPr>
                <w:rFonts w:ascii="Times New Roman" w:hAnsi="Times New Roman" w:cs="Times New Roman"/>
                <w:b/>
                <w:sz w:val="26"/>
                <w:szCs w:val="26"/>
              </w:rPr>
              <w:t>Các loại nghĩa vụ</w:t>
            </w:r>
          </w:p>
        </w:tc>
        <w:tc>
          <w:tcPr>
            <w:tcW w:w="1276" w:type="dxa"/>
            <w:gridSpan w:val="2"/>
          </w:tcPr>
          <w:p w14:paraId="7D8C827F" w14:textId="77777777" w:rsidR="008E5934" w:rsidRPr="004E30A9" w:rsidRDefault="007E57F8" w:rsidP="008E5934">
            <w:pPr>
              <w:autoSpaceDE w:val="0"/>
              <w:autoSpaceDN w:val="0"/>
              <w:adjustRightInd w:val="0"/>
              <w:spacing w:after="0" w:line="240" w:lineRule="auto"/>
              <w:rPr>
                <w:rFonts w:ascii="Times New Roman" w:hAnsi="Times New Roman" w:cs="Times New Roman"/>
                <w:b/>
                <w:sz w:val="26"/>
                <w:szCs w:val="26"/>
              </w:rPr>
            </w:pPr>
            <w:r w:rsidRPr="004E30A9">
              <w:rPr>
                <w:rFonts w:ascii="Times New Roman" w:hAnsi="Times New Roman" w:cs="Times New Roman"/>
                <w:b/>
                <w:sz w:val="26"/>
                <w:szCs w:val="26"/>
              </w:rPr>
              <w:t>Hỗ trợ về vốn</w:t>
            </w:r>
            <w:r w:rsidR="008E5934" w:rsidRPr="004E30A9">
              <w:rPr>
                <w:rFonts w:ascii="Times New Roman" w:hAnsi="Times New Roman" w:cs="Times New Roman"/>
                <w:b/>
                <w:sz w:val="26"/>
                <w:szCs w:val="26"/>
              </w:rPr>
              <w:t xml:space="preserve"> </w:t>
            </w:r>
          </w:p>
        </w:tc>
        <w:tc>
          <w:tcPr>
            <w:tcW w:w="3402" w:type="dxa"/>
            <w:gridSpan w:val="2"/>
          </w:tcPr>
          <w:p w14:paraId="1277335C" w14:textId="77777777" w:rsidR="008E5934" w:rsidRPr="004E30A9" w:rsidRDefault="007E57F8" w:rsidP="008E5934">
            <w:pPr>
              <w:autoSpaceDE w:val="0"/>
              <w:autoSpaceDN w:val="0"/>
              <w:adjustRightInd w:val="0"/>
              <w:spacing w:after="0" w:line="240" w:lineRule="auto"/>
              <w:rPr>
                <w:rFonts w:ascii="Times New Roman" w:hAnsi="Times New Roman" w:cs="Times New Roman"/>
                <w:b/>
                <w:sz w:val="26"/>
                <w:szCs w:val="26"/>
              </w:rPr>
            </w:pPr>
            <w:r w:rsidRPr="004E30A9">
              <w:rPr>
                <w:rFonts w:ascii="Times New Roman" w:hAnsi="Times New Roman" w:cs="Times New Roman"/>
                <w:b/>
                <w:sz w:val="26"/>
                <w:szCs w:val="26"/>
              </w:rPr>
              <w:t>Các nguồn hỗ trợ bổ sung khác</w:t>
            </w:r>
            <w:r w:rsidR="008E5934" w:rsidRPr="004E30A9">
              <w:rPr>
                <w:rFonts w:ascii="Times New Roman" w:hAnsi="Times New Roman" w:cs="Times New Roman"/>
                <w:b/>
                <w:sz w:val="26"/>
                <w:szCs w:val="26"/>
              </w:rPr>
              <w:t xml:space="preserve"> </w:t>
            </w:r>
          </w:p>
        </w:tc>
      </w:tr>
      <w:tr w:rsidR="004D2F23" w:rsidRPr="00EB6ED7" w14:paraId="77F451BC" w14:textId="77777777" w:rsidTr="007E57F8">
        <w:trPr>
          <w:trHeight w:val="258"/>
        </w:trPr>
        <w:tc>
          <w:tcPr>
            <w:tcW w:w="1290" w:type="dxa"/>
          </w:tcPr>
          <w:p w14:paraId="6E7D2B59" w14:textId="77777777" w:rsidR="007E57F8" w:rsidRPr="004E30A9" w:rsidRDefault="007E57F8" w:rsidP="007E57F8">
            <w:pPr>
              <w:autoSpaceDE w:val="0"/>
              <w:autoSpaceDN w:val="0"/>
              <w:adjustRightInd w:val="0"/>
              <w:spacing w:after="0" w:line="240" w:lineRule="auto"/>
              <w:rPr>
                <w:rFonts w:ascii="Times New Roman" w:hAnsi="Times New Roman" w:cs="Times New Roman"/>
                <w:b/>
                <w:sz w:val="26"/>
                <w:szCs w:val="26"/>
              </w:rPr>
            </w:pPr>
            <w:r w:rsidRPr="004E30A9">
              <w:rPr>
                <w:rFonts w:ascii="Times New Roman" w:hAnsi="Times New Roman" w:cs="Times New Roman"/>
                <w:b/>
                <w:sz w:val="26"/>
                <w:szCs w:val="26"/>
              </w:rPr>
              <w:t xml:space="preserve">Quốc gia (tổ chức BHTG) </w:t>
            </w:r>
          </w:p>
        </w:tc>
        <w:tc>
          <w:tcPr>
            <w:tcW w:w="1290" w:type="dxa"/>
          </w:tcPr>
          <w:p w14:paraId="52F4D7DD" w14:textId="77777777" w:rsidR="007E57F8" w:rsidRPr="004E30A9" w:rsidRDefault="007E57F8" w:rsidP="007E57F8">
            <w:pPr>
              <w:autoSpaceDE w:val="0"/>
              <w:autoSpaceDN w:val="0"/>
              <w:adjustRightInd w:val="0"/>
              <w:spacing w:after="0" w:line="240" w:lineRule="auto"/>
              <w:rPr>
                <w:rFonts w:ascii="Times New Roman" w:hAnsi="Times New Roman" w:cs="Times New Roman"/>
                <w:b/>
                <w:sz w:val="26"/>
                <w:szCs w:val="26"/>
              </w:rPr>
            </w:pPr>
            <w:r w:rsidRPr="004E30A9">
              <w:rPr>
                <w:rFonts w:ascii="Times New Roman" w:hAnsi="Times New Roman" w:cs="Times New Roman"/>
                <w:b/>
                <w:sz w:val="26"/>
                <w:szCs w:val="26"/>
              </w:rPr>
              <w:t xml:space="preserve">Tiền gửi được bảo hiểm </w:t>
            </w:r>
          </w:p>
        </w:tc>
        <w:tc>
          <w:tcPr>
            <w:tcW w:w="1290" w:type="dxa"/>
          </w:tcPr>
          <w:p w14:paraId="160A24A9" w14:textId="77777777" w:rsidR="007E57F8" w:rsidRPr="004E30A9" w:rsidRDefault="007E57F8" w:rsidP="007E57F8">
            <w:pPr>
              <w:autoSpaceDE w:val="0"/>
              <w:autoSpaceDN w:val="0"/>
              <w:adjustRightInd w:val="0"/>
              <w:spacing w:after="0" w:line="240" w:lineRule="auto"/>
              <w:rPr>
                <w:rFonts w:ascii="Times New Roman" w:hAnsi="Times New Roman" w:cs="Times New Roman"/>
                <w:b/>
                <w:sz w:val="26"/>
                <w:szCs w:val="26"/>
              </w:rPr>
            </w:pPr>
            <w:r w:rsidRPr="004E30A9">
              <w:rPr>
                <w:rFonts w:ascii="Times New Roman" w:hAnsi="Times New Roman" w:cs="Times New Roman"/>
                <w:b/>
                <w:sz w:val="26"/>
                <w:szCs w:val="26"/>
              </w:rPr>
              <w:t xml:space="preserve">Tiền gửi không được bảo hiểm </w:t>
            </w:r>
          </w:p>
        </w:tc>
        <w:tc>
          <w:tcPr>
            <w:tcW w:w="1290" w:type="dxa"/>
          </w:tcPr>
          <w:p w14:paraId="1E2D2609" w14:textId="77777777" w:rsidR="007E57F8" w:rsidRPr="004E30A9" w:rsidRDefault="007E57F8" w:rsidP="007E57F8">
            <w:pPr>
              <w:autoSpaceDE w:val="0"/>
              <w:autoSpaceDN w:val="0"/>
              <w:adjustRightInd w:val="0"/>
              <w:spacing w:after="0" w:line="240" w:lineRule="auto"/>
              <w:rPr>
                <w:rFonts w:ascii="Times New Roman" w:hAnsi="Times New Roman" w:cs="Times New Roman"/>
                <w:b/>
                <w:sz w:val="26"/>
                <w:szCs w:val="26"/>
              </w:rPr>
            </w:pPr>
            <w:r w:rsidRPr="004E30A9">
              <w:rPr>
                <w:rFonts w:ascii="Times New Roman" w:hAnsi="Times New Roman" w:cs="Times New Roman"/>
                <w:b/>
                <w:sz w:val="26"/>
                <w:szCs w:val="26"/>
              </w:rPr>
              <w:t xml:space="preserve">Các khoản phải trả khác </w:t>
            </w:r>
          </w:p>
        </w:tc>
        <w:tc>
          <w:tcPr>
            <w:tcW w:w="1290" w:type="dxa"/>
            <w:gridSpan w:val="2"/>
          </w:tcPr>
          <w:p w14:paraId="4518FB6A" w14:textId="77777777" w:rsidR="007E57F8" w:rsidRPr="004E30A9" w:rsidRDefault="007E57F8" w:rsidP="007E57F8">
            <w:pPr>
              <w:autoSpaceDE w:val="0"/>
              <w:autoSpaceDN w:val="0"/>
              <w:adjustRightInd w:val="0"/>
              <w:spacing w:after="0" w:line="240" w:lineRule="auto"/>
              <w:rPr>
                <w:rFonts w:ascii="Times New Roman" w:hAnsi="Times New Roman" w:cs="Times New Roman"/>
                <w:b/>
                <w:sz w:val="26"/>
                <w:szCs w:val="26"/>
              </w:rPr>
            </w:pPr>
            <w:r w:rsidRPr="004E30A9">
              <w:rPr>
                <w:rFonts w:ascii="Times New Roman" w:hAnsi="Times New Roman" w:cs="Times New Roman"/>
                <w:b/>
                <w:sz w:val="26"/>
                <w:szCs w:val="26"/>
              </w:rPr>
              <w:t xml:space="preserve">Yes/No </w:t>
            </w:r>
          </w:p>
        </w:tc>
        <w:tc>
          <w:tcPr>
            <w:tcW w:w="2017" w:type="dxa"/>
            <w:gridSpan w:val="2"/>
          </w:tcPr>
          <w:p w14:paraId="6A71EAAC" w14:textId="77777777" w:rsidR="007E57F8" w:rsidRPr="004E30A9" w:rsidRDefault="007E57F8" w:rsidP="007E57F8">
            <w:pPr>
              <w:autoSpaceDE w:val="0"/>
              <w:autoSpaceDN w:val="0"/>
              <w:adjustRightInd w:val="0"/>
              <w:spacing w:after="0" w:line="240" w:lineRule="auto"/>
              <w:rPr>
                <w:rFonts w:ascii="Times New Roman" w:hAnsi="Times New Roman" w:cs="Times New Roman"/>
                <w:b/>
                <w:sz w:val="26"/>
                <w:szCs w:val="26"/>
              </w:rPr>
            </w:pPr>
            <w:r w:rsidRPr="004E30A9">
              <w:rPr>
                <w:rFonts w:ascii="Times New Roman" w:hAnsi="Times New Roman" w:cs="Times New Roman"/>
                <w:b/>
                <w:sz w:val="26"/>
                <w:szCs w:val="26"/>
              </w:rPr>
              <w:t xml:space="preserve">Nguồn vốn dự phòng từ khu vực công (Public backup funding) </w:t>
            </w:r>
          </w:p>
        </w:tc>
        <w:tc>
          <w:tcPr>
            <w:tcW w:w="1417" w:type="dxa"/>
          </w:tcPr>
          <w:p w14:paraId="2F44A82B" w14:textId="77777777" w:rsidR="007E57F8" w:rsidRPr="004E30A9" w:rsidRDefault="007E57F8" w:rsidP="007E57F8">
            <w:pPr>
              <w:autoSpaceDE w:val="0"/>
              <w:autoSpaceDN w:val="0"/>
              <w:adjustRightInd w:val="0"/>
              <w:spacing w:after="0" w:line="240" w:lineRule="auto"/>
              <w:rPr>
                <w:rFonts w:ascii="Times New Roman" w:hAnsi="Times New Roman" w:cs="Times New Roman"/>
                <w:b/>
                <w:sz w:val="26"/>
                <w:szCs w:val="26"/>
              </w:rPr>
            </w:pPr>
            <w:r w:rsidRPr="004E30A9">
              <w:rPr>
                <w:rFonts w:ascii="Times New Roman" w:hAnsi="Times New Roman" w:cs="Times New Roman"/>
                <w:b/>
                <w:sz w:val="26"/>
                <w:szCs w:val="26"/>
              </w:rPr>
              <w:t>Vay (Private borrowing)</w:t>
            </w:r>
          </w:p>
        </w:tc>
      </w:tr>
      <w:tr w:rsidR="004D2F23" w:rsidRPr="00EB6ED7" w14:paraId="5490791B" w14:textId="77777777" w:rsidTr="007E57F8">
        <w:trPr>
          <w:trHeight w:val="145"/>
        </w:trPr>
        <w:tc>
          <w:tcPr>
            <w:tcW w:w="1290" w:type="dxa"/>
          </w:tcPr>
          <w:p w14:paraId="72F08A83" w14:textId="77777777" w:rsidR="008E5934" w:rsidRPr="004E30A9" w:rsidRDefault="008E5934" w:rsidP="008E593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Australia (FCS) </w:t>
            </w:r>
          </w:p>
        </w:tc>
        <w:tc>
          <w:tcPr>
            <w:tcW w:w="1290" w:type="dxa"/>
          </w:tcPr>
          <w:p w14:paraId="10FEAF1D"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1590B831"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6BF6DC4E"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gridSpan w:val="2"/>
          </w:tcPr>
          <w:p w14:paraId="786E987D"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2017" w:type="dxa"/>
            <w:gridSpan w:val="2"/>
          </w:tcPr>
          <w:p w14:paraId="45DCF2DD"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17" w:type="dxa"/>
          </w:tcPr>
          <w:p w14:paraId="485DE113"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3B938FA5" w14:textId="77777777" w:rsidTr="007E57F8">
        <w:trPr>
          <w:trHeight w:val="158"/>
        </w:trPr>
        <w:tc>
          <w:tcPr>
            <w:tcW w:w="1290" w:type="dxa"/>
          </w:tcPr>
          <w:p w14:paraId="4582ED88" w14:textId="77777777" w:rsidR="008E5934" w:rsidRPr="004E30A9" w:rsidRDefault="008E5934" w:rsidP="008E593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Canada (CDIC) </w:t>
            </w:r>
          </w:p>
        </w:tc>
        <w:tc>
          <w:tcPr>
            <w:tcW w:w="1290" w:type="dxa"/>
          </w:tcPr>
          <w:p w14:paraId="4ADF4363"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722903A7"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2A7E23F1"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gridSpan w:val="2"/>
          </w:tcPr>
          <w:p w14:paraId="44359B35"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2017" w:type="dxa"/>
            <w:gridSpan w:val="2"/>
          </w:tcPr>
          <w:p w14:paraId="5790251B"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17" w:type="dxa"/>
          </w:tcPr>
          <w:p w14:paraId="4FEC6961"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3EE299E6" w14:textId="77777777" w:rsidTr="007E57F8">
        <w:trPr>
          <w:trHeight w:val="145"/>
        </w:trPr>
        <w:tc>
          <w:tcPr>
            <w:tcW w:w="1290" w:type="dxa"/>
          </w:tcPr>
          <w:p w14:paraId="26FA8BE1" w14:textId="77777777" w:rsidR="008E5934" w:rsidRPr="004E30A9" w:rsidRDefault="008E5934" w:rsidP="008E593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Colombia (Fogafín) </w:t>
            </w:r>
          </w:p>
        </w:tc>
        <w:tc>
          <w:tcPr>
            <w:tcW w:w="1290" w:type="dxa"/>
          </w:tcPr>
          <w:p w14:paraId="74D4EF88"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27F62879"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297B6B5F"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gridSpan w:val="2"/>
          </w:tcPr>
          <w:p w14:paraId="7ED2E4F0"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2017" w:type="dxa"/>
            <w:gridSpan w:val="2"/>
          </w:tcPr>
          <w:p w14:paraId="7BA5CBB0"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17" w:type="dxa"/>
          </w:tcPr>
          <w:p w14:paraId="22840C8F"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0C19B927" w14:textId="77777777" w:rsidTr="007E57F8">
        <w:trPr>
          <w:trHeight w:val="158"/>
        </w:trPr>
        <w:tc>
          <w:tcPr>
            <w:tcW w:w="1290" w:type="dxa"/>
          </w:tcPr>
          <w:p w14:paraId="1636DF21" w14:textId="77777777" w:rsidR="008E5934" w:rsidRPr="004E30A9" w:rsidRDefault="008E5934" w:rsidP="008E593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Finland (DGF) </w:t>
            </w:r>
          </w:p>
        </w:tc>
        <w:tc>
          <w:tcPr>
            <w:tcW w:w="1290" w:type="dxa"/>
          </w:tcPr>
          <w:p w14:paraId="521AAEE8"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64B4E3C7"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0A933FE8"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gridSpan w:val="2"/>
          </w:tcPr>
          <w:p w14:paraId="4E076F5D"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2017" w:type="dxa"/>
            <w:gridSpan w:val="2"/>
          </w:tcPr>
          <w:p w14:paraId="0E481296"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17" w:type="dxa"/>
          </w:tcPr>
          <w:p w14:paraId="7DFDC920"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5091FE90" w14:textId="77777777" w:rsidTr="007E57F8">
        <w:trPr>
          <w:trHeight w:val="145"/>
        </w:trPr>
        <w:tc>
          <w:tcPr>
            <w:tcW w:w="1290" w:type="dxa"/>
          </w:tcPr>
          <w:p w14:paraId="51E0CFA1" w14:textId="77777777" w:rsidR="008E5934" w:rsidRPr="004E30A9" w:rsidRDefault="008E5934" w:rsidP="008E593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Germany (DPFB) </w:t>
            </w:r>
          </w:p>
        </w:tc>
        <w:tc>
          <w:tcPr>
            <w:tcW w:w="1290" w:type="dxa"/>
          </w:tcPr>
          <w:p w14:paraId="388A31C0"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28A3598F"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1DAF8F61"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gridSpan w:val="2"/>
          </w:tcPr>
          <w:p w14:paraId="731C3A34"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2017" w:type="dxa"/>
            <w:gridSpan w:val="2"/>
          </w:tcPr>
          <w:p w14:paraId="1CF1BF0D"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17" w:type="dxa"/>
          </w:tcPr>
          <w:p w14:paraId="013B0741"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66ED2DD9" w14:textId="77777777" w:rsidTr="007E57F8">
        <w:trPr>
          <w:trHeight w:val="158"/>
        </w:trPr>
        <w:tc>
          <w:tcPr>
            <w:tcW w:w="1290" w:type="dxa"/>
          </w:tcPr>
          <w:p w14:paraId="0BDFABC4" w14:textId="77777777" w:rsidR="008E5934" w:rsidRPr="004E30A9" w:rsidRDefault="008E5934" w:rsidP="008E593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Honduras (FOSEDE) </w:t>
            </w:r>
          </w:p>
        </w:tc>
        <w:tc>
          <w:tcPr>
            <w:tcW w:w="1290" w:type="dxa"/>
          </w:tcPr>
          <w:p w14:paraId="1ECD27CA"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3F7C42F4"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1D216AED"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gridSpan w:val="2"/>
          </w:tcPr>
          <w:p w14:paraId="260FC93C"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2017" w:type="dxa"/>
            <w:gridSpan w:val="2"/>
          </w:tcPr>
          <w:p w14:paraId="46A7D30C"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17" w:type="dxa"/>
          </w:tcPr>
          <w:p w14:paraId="2F583B71"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1A0701E9" w14:textId="77777777" w:rsidTr="007E57F8">
        <w:trPr>
          <w:trHeight w:val="145"/>
        </w:trPr>
        <w:tc>
          <w:tcPr>
            <w:tcW w:w="1290" w:type="dxa"/>
          </w:tcPr>
          <w:p w14:paraId="3404C8D5" w14:textId="77777777" w:rsidR="008E5934" w:rsidRPr="004E30A9" w:rsidRDefault="008E5934" w:rsidP="008E593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Indonesia (IDIC) </w:t>
            </w:r>
          </w:p>
        </w:tc>
        <w:tc>
          <w:tcPr>
            <w:tcW w:w="1290" w:type="dxa"/>
          </w:tcPr>
          <w:p w14:paraId="3699558B"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337377E2"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6FCAF064"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gridSpan w:val="2"/>
          </w:tcPr>
          <w:p w14:paraId="57751D9E"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2017" w:type="dxa"/>
            <w:gridSpan w:val="2"/>
          </w:tcPr>
          <w:p w14:paraId="42FE28D0"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17" w:type="dxa"/>
          </w:tcPr>
          <w:p w14:paraId="2B709B6A"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7943E4DE" w14:textId="77777777" w:rsidTr="007E57F8">
        <w:trPr>
          <w:trHeight w:val="158"/>
        </w:trPr>
        <w:tc>
          <w:tcPr>
            <w:tcW w:w="1290" w:type="dxa"/>
          </w:tcPr>
          <w:p w14:paraId="19E0F74D" w14:textId="77777777" w:rsidR="008E5934" w:rsidRPr="004E30A9" w:rsidRDefault="008E5934" w:rsidP="008E593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Italy (FITD) </w:t>
            </w:r>
          </w:p>
        </w:tc>
        <w:tc>
          <w:tcPr>
            <w:tcW w:w="1290" w:type="dxa"/>
          </w:tcPr>
          <w:p w14:paraId="667C0C87"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3FF982CA"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621B60DD"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gridSpan w:val="2"/>
          </w:tcPr>
          <w:p w14:paraId="4F5FE430"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2017" w:type="dxa"/>
            <w:gridSpan w:val="2"/>
          </w:tcPr>
          <w:p w14:paraId="2CC1E07A"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17" w:type="dxa"/>
          </w:tcPr>
          <w:p w14:paraId="24CD7666"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08C22443" w14:textId="77777777" w:rsidTr="007E57F8">
        <w:trPr>
          <w:trHeight w:val="145"/>
        </w:trPr>
        <w:tc>
          <w:tcPr>
            <w:tcW w:w="1290" w:type="dxa"/>
          </w:tcPr>
          <w:p w14:paraId="3CB0133B" w14:textId="77777777" w:rsidR="008E5934" w:rsidRPr="004E30A9" w:rsidRDefault="008E5934" w:rsidP="008E593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Jamaica (JDIC) </w:t>
            </w:r>
          </w:p>
        </w:tc>
        <w:tc>
          <w:tcPr>
            <w:tcW w:w="1290" w:type="dxa"/>
          </w:tcPr>
          <w:p w14:paraId="49DE9E91"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7C75FC3C"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555A88A6"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gridSpan w:val="2"/>
          </w:tcPr>
          <w:p w14:paraId="0D393614"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2017" w:type="dxa"/>
            <w:gridSpan w:val="2"/>
          </w:tcPr>
          <w:p w14:paraId="66DC54B6"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17" w:type="dxa"/>
          </w:tcPr>
          <w:p w14:paraId="2DAAB3D8"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0E163018" w14:textId="77777777" w:rsidTr="007E57F8">
        <w:trPr>
          <w:trHeight w:val="158"/>
        </w:trPr>
        <w:tc>
          <w:tcPr>
            <w:tcW w:w="1290" w:type="dxa"/>
          </w:tcPr>
          <w:p w14:paraId="1AF5DA0F" w14:textId="77777777" w:rsidR="008E5934" w:rsidRPr="004E30A9" w:rsidRDefault="008E5934" w:rsidP="008E593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Japan (DICJ) </w:t>
            </w:r>
          </w:p>
        </w:tc>
        <w:tc>
          <w:tcPr>
            <w:tcW w:w="1290" w:type="dxa"/>
          </w:tcPr>
          <w:p w14:paraId="64BB425F"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7EEE16F1"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0EF312FD"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gridSpan w:val="2"/>
          </w:tcPr>
          <w:p w14:paraId="1E2C3BEB"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2017" w:type="dxa"/>
            <w:gridSpan w:val="2"/>
          </w:tcPr>
          <w:p w14:paraId="22036F34"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17" w:type="dxa"/>
          </w:tcPr>
          <w:p w14:paraId="78CDE6A5"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1A4E3698" w14:textId="77777777" w:rsidTr="007E57F8">
        <w:trPr>
          <w:trHeight w:val="145"/>
        </w:trPr>
        <w:tc>
          <w:tcPr>
            <w:tcW w:w="1290" w:type="dxa"/>
          </w:tcPr>
          <w:p w14:paraId="043FCEA1" w14:textId="77777777" w:rsidR="008E5934" w:rsidRPr="004E30A9" w:rsidRDefault="008E5934" w:rsidP="008E593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Korea (KDIC) </w:t>
            </w:r>
          </w:p>
        </w:tc>
        <w:tc>
          <w:tcPr>
            <w:tcW w:w="1290" w:type="dxa"/>
          </w:tcPr>
          <w:p w14:paraId="1EE6BC06"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14C7FB3D"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56FE0A75"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gridSpan w:val="2"/>
          </w:tcPr>
          <w:p w14:paraId="6AE4064A"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2017" w:type="dxa"/>
            <w:gridSpan w:val="2"/>
          </w:tcPr>
          <w:p w14:paraId="48D23247"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17" w:type="dxa"/>
          </w:tcPr>
          <w:p w14:paraId="42DFAF20"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28CE15B0" w14:textId="77777777" w:rsidTr="007E57F8">
        <w:trPr>
          <w:trHeight w:val="158"/>
        </w:trPr>
        <w:tc>
          <w:tcPr>
            <w:tcW w:w="1290" w:type="dxa"/>
          </w:tcPr>
          <w:p w14:paraId="45912223" w14:textId="77777777" w:rsidR="008E5934" w:rsidRPr="004E30A9" w:rsidRDefault="008E5934" w:rsidP="008E593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lastRenderedPageBreak/>
              <w:t xml:space="preserve">Nigeria (NDIC) </w:t>
            </w:r>
          </w:p>
        </w:tc>
        <w:tc>
          <w:tcPr>
            <w:tcW w:w="1290" w:type="dxa"/>
          </w:tcPr>
          <w:p w14:paraId="6BD7660A"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417278DB"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5F9340B3"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gridSpan w:val="2"/>
          </w:tcPr>
          <w:p w14:paraId="2F25F662"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2017" w:type="dxa"/>
            <w:gridSpan w:val="2"/>
          </w:tcPr>
          <w:p w14:paraId="5E69E1E5"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17" w:type="dxa"/>
          </w:tcPr>
          <w:p w14:paraId="1F0BF54C"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7A03C0BA" w14:textId="77777777" w:rsidTr="007E57F8">
        <w:trPr>
          <w:trHeight w:val="145"/>
        </w:trPr>
        <w:tc>
          <w:tcPr>
            <w:tcW w:w="1290" w:type="dxa"/>
          </w:tcPr>
          <w:p w14:paraId="0522D9CE" w14:textId="77777777" w:rsidR="008E5934" w:rsidRPr="004E30A9" w:rsidRDefault="008E5934" w:rsidP="008E593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Mexico (IPAB) </w:t>
            </w:r>
          </w:p>
        </w:tc>
        <w:tc>
          <w:tcPr>
            <w:tcW w:w="1290" w:type="dxa"/>
          </w:tcPr>
          <w:p w14:paraId="250A77A6"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1D9CDD8B"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25EBE6DA"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gridSpan w:val="2"/>
          </w:tcPr>
          <w:p w14:paraId="66040C5D"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2017" w:type="dxa"/>
            <w:gridSpan w:val="2"/>
          </w:tcPr>
          <w:p w14:paraId="445B3D74"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17" w:type="dxa"/>
          </w:tcPr>
          <w:p w14:paraId="7B5153AB"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620FD966" w14:textId="77777777" w:rsidTr="007E57F8">
        <w:trPr>
          <w:trHeight w:val="157"/>
        </w:trPr>
        <w:tc>
          <w:tcPr>
            <w:tcW w:w="1290" w:type="dxa"/>
          </w:tcPr>
          <w:p w14:paraId="7D059847" w14:textId="77777777" w:rsidR="008E5934" w:rsidRPr="004E30A9" w:rsidRDefault="008E5934" w:rsidP="008E593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Mongolia (DICoM) </w:t>
            </w:r>
          </w:p>
        </w:tc>
        <w:tc>
          <w:tcPr>
            <w:tcW w:w="1290" w:type="dxa"/>
          </w:tcPr>
          <w:p w14:paraId="5AAFCD9C"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256FB037"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48C7FFF4"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gridSpan w:val="2"/>
          </w:tcPr>
          <w:p w14:paraId="3BB3028A"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2017" w:type="dxa"/>
            <w:gridSpan w:val="2"/>
          </w:tcPr>
          <w:p w14:paraId="5D754C3C"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17" w:type="dxa"/>
          </w:tcPr>
          <w:p w14:paraId="77FA8D68"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24AD56CF" w14:textId="77777777" w:rsidTr="007E57F8">
        <w:trPr>
          <w:trHeight w:val="145"/>
        </w:trPr>
        <w:tc>
          <w:tcPr>
            <w:tcW w:w="1290" w:type="dxa"/>
          </w:tcPr>
          <w:p w14:paraId="1513F93F" w14:textId="77777777" w:rsidR="008E5934" w:rsidRPr="004E30A9" w:rsidRDefault="008E5934" w:rsidP="008E593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Morocco (SGFG) </w:t>
            </w:r>
          </w:p>
        </w:tc>
        <w:tc>
          <w:tcPr>
            <w:tcW w:w="1290" w:type="dxa"/>
          </w:tcPr>
          <w:p w14:paraId="3A4D9B89"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4E54B2B5"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22589EBA"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gridSpan w:val="2"/>
          </w:tcPr>
          <w:p w14:paraId="3CCDF84C"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2017" w:type="dxa"/>
            <w:gridSpan w:val="2"/>
          </w:tcPr>
          <w:p w14:paraId="44BB5453"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17" w:type="dxa"/>
          </w:tcPr>
          <w:p w14:paraId="619ED063"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04DB48FE" w14:textId="77777777" w:rsidTr="007E57F8">
        <w:trPr>
          <w:trHeight w:val="157"/>
        </w:trPr>
        <w:tc>
          <w:tcPr>
            <w:tcW w:w="1290" w:type="dxa"/>
          </w:tcPr>
          <w:p w14:paraId="28E80BCE" w14:textId="77777777" w:rsidR="008E5934" w:rsidRPr="004E30A9" w:rsidRDefault="008E5934" w:rsidP="008E593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Norway (NBGF) </w:t>
            </w:r>
          </w:p>
        </w:tc>
        <w:tc>
          <w:tcPr>
            <w:tcW w:w="1290" w:type="dxa"/>
          </w:tcPr>
          <w:p w14:paraId="6919B80C"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1AB698E0"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6A138E28"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gridSpan w:val="2"/>
          </w:tcPr>
          <w:p w14:paraId="0B418AFF"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2017" w:type="dxa"/>
            <w:gridSpan w:val="2"/>
          </w:tcPr>
          <w:p w14:paraId="6C7E12C7"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17" w:type="dxa"/>
          </w:tcPr>
          <w:p w14:paraId="3BA35AB3"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764BBB59" w14:textId="77777777" w:rsidTr="007E57F8">
        <w:trPr>
          <w:trHeight w:val="145"/>
        </w:trPr>
        <w:tc>
          <w:tcPr>
            <w:tcW w:w="1290" w:type="dxa"/>
          </w:tcPr>
          <w:p w14:paraId="6B8BE215" w14:textId="77777777" w:rsidR="008E5934" w:rsidRPr="004E30A9" w:rsidRDefault="008E5934" w:rsidP="008E593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Poland (BFG) </w:t>
            </w:r>
          </w:p>
        </w:tc>
        <w:tc>
          <w:tcPr>
            <w:tcW w:w="1290" w:type="dxa"/>
          </w:tcPr>
          <w:p w14:paraId="706D271A"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26820ACE"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65E54C23"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gridSpan w:val="2"/>
          </w:tcPr>
          <w:p w14:paraId="28A6C99C"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2017" w:type="dxa"/>
            <w:gridSpan w:val="2"/>
          </w:tcPr>
          <w:p w14:paraId="219138EB"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17" w:type="dxa"/>
          </w:tcPr>
          <w:p w14:paraId="5B4161A4"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61A11806" w14:textId="77777777" w:rsidTr="007E57F8">
        <w:trPr>
          <w:trHeight w:val="157"/>
        </w:trPr>
        <w:tc>
          <w:tcPr>
            <w:tcW w:w="1290" w:type="dxa"/>
          </w:tcPr>
          <w:p w14:paraId="525F3F51" w14:textId="77777777" w:rsidR="008E5934" w:rsidRPr="004E30A9" w:rsidRDefault="008E5934" w:rsidP="008E593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Serbia (AOD) </w:t>
            </w:r>
          </w:p>
        </w:tc>
        <w:tc>
          <w:tcPr>
            <w:tcW w:w="1290" w:type="dxa"/>
          </w:tcPr>
          <w:p w14:paraId="2B0CD52D"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265AF584"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0A899E73"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gridSpan w:val="2"/>
          </w:tcPr>
          <w:p w14:paraId="5C905EEB"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2017" w:type="dxa"/>
            <w:gridSpan w:val="2"/>
          </w:tcPr>
          <w:p w14:paraId="29963F9B"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17" w:type="dxa"/>
          </w:tcPr>
          <w:p w14:paraId="0412D5CF"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59363CF2" w14:textId="77777777" w:rsidTr="007E57F8">
        <w:trPr>
          <w:trHeight w:val="145"/>
        </w:trPr>
        <w:tc>
          <w:tcPr>
            <w:tcW w:w="1290" w:type="dxa"/>
          </w:tcPr>
          <w:p w14:paraId="7C23965C" w14:textId="77777777" w:rsidR="008E5934" w:rsidRPr="004E30A9" w:rsidRDefault="008E5934" w:rsidP="008E593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Singapore (SDIC) </w:t>
            </w:r>
          </w:p>
        </w:tc>
        <w:tc>
          <w:tcPr>
            <w:tcW w:w="1290" w:type="dxa"/>
          </w:tcPr>
          <w:p w14:paraId="7C4C551C"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1769FF99"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587F3DC3"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gridSpan w:val="2"/>
          </w:tcPr>
          <w:p w14:paraId="24714FFD"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2017" w:type="dxa"/>
            <w:gridSpan w:val="2"/>
          </w:tcPr>
          <w:p w14:paraId="2A1650D6"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17" w:type="dxa"/>
          </w:tcPr>
          <w:p w14:paraId="3527F6DD"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3917325A" w14:textId="77777777" w:rsidTr="007E57F8">
        <w:trPr>
          <w:trHeight w:val="157"/>
        </w:trPr>
        <w:tc>
          <w:tcPr>
            <w:tcW w:w="1290" w:type="dxa"/>
          </w:tcPr>
          <w:p w14:paraId="10CD06C1" w14:textId="77777777" w:rsidR="008E5934" w:rsidRPr="004E30A9" w:rsidRDefault="008E5934" w:rsidP="008E593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UK (FSCS) </w:t>
            </w:r>
          </w:p>
        </w:tc>
        <w:tc>
          <w:tcPr>
            <w:tcW w:w="1290" w:type="dxa"/>
          </w:tcPr>
          <w:p w14:paraId="2488D0BD"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2FBCA619"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733CD2D6"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gridSpan w:val="2"/>
          </w:tcPr>
          <w:p w14:paraId="7F716010"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2017" w:type="dxa"/>
            <w:gridSpan w:val="2"/>
          </w:tcPr>
          <w:p w14:paraId="3B7F3D79"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17" w:type="dxa"/>
          </w:tcPr>
          <w:p w14:paraId="1B6627F2"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1EF16226" w14:textId="77777777" w:rsidTr="007E57F8">
        <w:trPr>
          <w:trHeight w:val="145"/>
        </w:trPr>
        <w:tc>
          <w:tcPr>
            <w:tcW w:w="1290" w:type="dxa"/>
          </w:tcPr>
          <w:p w14:paraId="49F36C74" w14:textId="77777777" w:rsidR="008E5934" w:rsidRPr="004E30A9" w:rsidRDefault="008E5934" w:rsidP="008E593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US (FDIC)* </w:t>
            </w:r>
          </w:p>
        </w:tc>
        <w:tc>
          <w:tcPr>
            <w:tcW w:w="1290" w:type="dxa"/>
          </w:tcPr>
          <w:p w14:paraId="1A947C1A"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4D69C2BE"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tcPr>
          <w:p w14:paraId="6D60CFEF"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290" w:type="dxa"/>
            <w:gridSpan w:val="2"/>
          </w:tcPr>
          <w:p w14:paraId="3615E6A8"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2017" w:type="dxa"/>
            <w:gridSpan w:val="2"/>
          </w:tcPr>
          <w:p w14:paraId="013E84FD"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417" w:type="dxa"/>
          </w:tcPr>
          <w:p w14:paraId="56809C19" w14:textId="77777777" w:rsidR="008E5934" w:rsidRPr="004E30A9" w:rsidRDefault="008E5934" w:rsidP="008E593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3B976C8F" w14:textId="77777777" w:rsidTr="007E57F8">
        <w:trPr>
          <w:trHeight w:val="648"/>
        </w:trPr>
        <w:tc>
          <w:tcPr>
            <w:tcW w:w="9884" w:type="dxa"/>
            <w:gridSpan w:val="9"/>
          </w:tcPr>
          <w:p w14:paraId="2D4EFC6F" w14:textId="77777777" w:rsidR="008E5934" w:rsidRPr="004E30A9" w:rsidRDefault="007E57F8" w:rsidP="008E593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Các tổ chức BHTG sau đây không thể tài trợ cho BB</w:t>
            </w:r>
            <w:r w:rsidR="008E5934" w:rsidRPr="004E30A9">
              <w:rPr>
                <w:rFonts w:ascii="Times New Roman" w:hAnsi="Times New Roman" w:cs="Times New Roman"/>
                <w:sz w:val="26"/>
                <w:szCs w:val="26"/>
              </w:rPr>
              <w:t xml:space="preserve">: DIC-BS (Bahamas), BDIC (Barbados), FGC (Brazil), COSEDE (Ecuador), BVR (Germany), FGDSB (Moldova), ASV (Russia), FGD (Spain), SLDIS (Sri Lanka), SDIF (Turkey), COPAB (Uruguay). </w:t>
            </w:r>
          </w:p>
          <w:p w14:paraId="4A3703BE" w14:textId="77777777" w:rsidR="008E5934" w:rsidRPr="004E30A9" w:rsidRDefault="008E5934" w:rsidP="008E5934">
            <w:pPr>
              <w:autoSpaceDE w:val="0"/>
              <w:autoSpaceDN w:val="0"/>
              <w:adjustRightInd w:val="0"/>
              <w:spacing w:after="0" w:line="240" w:lineRule="auto"/>
              <w:rPr>
                <w:rFonts w:ascii="Segoe UI" w:hAnsi="Segoe UI" w:cs="Segoe UI"/>
                <w:sz w:val="26"/>
                <w:szCs w:val="26"/>
              </w:rPr>
            </w:pPr>
            <w:r w:rsidRPr="004E30A9">
              <w:rPr>
                <w:rFonts w:ascii="Times New Roman" w:hAnsi="Times New Roman" w:cs="Times New Roman"/>
                <w:sz w:val="26"/>
                <w:szCs w:val="26"/>
              </w:rPr>
              <w:t>Source: 2019 ad hoc survey and IADI (2018).</w:t>
            </w:r>
            <w:r w:rsidRPr="004E30A9">
              <w:rPr>
                <w:rFonts w:ascii="Segoe UI" w:hAnsi="Segoe UI" w:cs="Segoe UI"/>
                <w:sz w:val="26"/>
                <w:szCs w:val="26"/>
              </w:rPr>
              <w:t xml:space="preserve"> </w:t>
            </w:r>
          </w:p>
        </w:tc>
      </w:tr>
    </w:tbl>
    <w:p w14:paraId="3B2C904D" w14:textId="77777777" w:rsidR="008E5934" w:rsidRPr="004E30A9" w:rsidRDefault="008E5934" w:rsidP="00881A4F">
      <w:pPr>
        <w:jc w:val="both"/>
        <w:rPr>
          <w:sz w:val="26"/>
          <w:szCs w:val="26"/>
        </w:rPr>
      </w:pPr>
    </w:p>
    <w:p w14:paraId="718F72EA" w14:textId="44F4D505" w:rsidR="00191A4F" w:rsidRPr="004E30A9" w:rsidRDefault="00C23BCD" w:rsidP="00BB79B2">
      <w:pPr>
        <w:ind w:firstLine="720"/>
        <w:jc w:val="both"/>
        <w:rPr>
          <w:rFonts w:ascii="Times New Roman" w:hAnsi="Times New Roman" w:cs="Times New Roman"/>
          <w:b/>
          <w:sz w:val="26"/>
          <w:szCs w:val="26"/>
        </w:rPr>
      </w:pPr>
      <w:r w:rsidRPr="004E30A9">
        <w:rPr>
          <w:rFonts w:ascii="Times New Roman" w:hAnsi="Times New Roman" w:cs="Times New Roman"/>
          <w:b/>
          <w:sz w:val="26"/>
          <w:szCs w:val="26"/>
        </w:rPr>
        <w:t xml:space="preserve">IV. </w:t>
      </w:r>
      <w:r w:rsidR="00191A4F" w:rsidRPr="004E30A9">
        <w:rPr>
          <w:rFonts w:ascii="Times New Roman" w:hAnsi="Times New Roman" w:cs="Times New Roman"/>
          <w:b/>
          <w:sz w:val="26"/>
          <w:szCs w:val="26"/>
        </w:rPr>
        <w:t xml:space="preserve">Quy định </w:t>
      </w:r>
      <w:r w:rsidR="00FE425C" w:rsidRPr="004E30A9">
        <w:rPr>
          <w:rFonts w:ascii="Times New Roman" w:hAnsi="Times New Roman" w:cs="Times New Roman"/>
          <w:b/>
          <w:sz w:val="26"/>
          <w:szCs w:val="26"/>
        </w:rPr>
        <w:t>của</w:t>
      </w:r>
      <w:r w:rsidR="00191A4F" w:rsidRPr="004E30A9">
        <w:rPr>
          <w:rFonts w:ascii="Times New Roman" w:hAnsi="Times New Roman" w:cs="Times New Roman"/>
          <w:b/>
          <w:sz w:val="26"/>
          <w:szCs w:val="26"/>
        </w:rPr>
        <w:t xml:space="preserve"> một số nước</w:t>
      </w:r>
      <w:r w:rsidR="00FE425C" w:rsidRPr="004E30A9">
        <w:rPr>
          <w:rFonts w:ascii="Times New Roman" w:hAnsi="Times New Roman" w:cs="Times New Roman"/>
          <w:b/>
          <w:sz w:val="26"/>
          <w:szCs w:val="26"/>
        </w:rPr>
        <w:t xml:space="preserve"> tiêu biểu</w:t>
      </w:r>
      <w:r w:rsidR="00191A4F" w:rsidRPr="004E30A9">
        <w:rPr>
          <w:rFonts w:ascii="Times New Roman" w:hAnsi="Times New Roman" w:cs="Times New Roman"/>
          <w:b/>
          <w:sz w:val="26"/>
          <w:szCs w:val="26"/>
        </w:rPr>
        <w:t>:</w:t>
      </w:r>
    </w:p>
    <w:p w14:paraId="7F9CE7B2" w14:textId="2A36F2F2" w:rsidR="00FE425C" w:rsidRPr="004E30A9" w:rsidRDefault="00FE425C" w:rsidP="00BB79B2">
      <w:pPr>
        <w:ind w:firstLine="720"/>
        <w:jc w:val="both"/>
        <w:rPr>
          <w:rFonts w:ascii="Times New Roman" w:hAnsi="Times New Roman" w:cs="Times New Roman"/>
          <w:b/>
          <w:sz w:val="26"/>
          <w:szCs w:val="26"/>
        </w:rPr>
      </w:pPr>
      <w:r w:rsidRPr="004E30A9">
        <w:rPr>
          <w:rFonts w:ascii="Times New Roman" w:hAnsi="Times New Roman" w:cs="Times New Roman"/>
          <w:b/>
          <w:sz w:val="26"/>
          <w:szCs w:val="26"/>
        </w:rPr>
        <w:t>1. Nhật Bản:</w:t>
      </w:r>
    </w:p>
    <w:p w14:paraId="3AD1A963" w14:textId="045F9869" w:rsidR="00FE425C" w:rsidRPr="004E30A9" w:rsidRDefault="00FE425C" w:rsidP="00FE425C">
      <w:pPr>
        <w:spacing w:before="120" w:after="120" w:line="240" w:lineRule="auto"/>
        <w:ind w:firstLine="709"/>
        <w:jc w:val="both"/>
        <w:rPr>
          <w:rStyle w:val="Strong"/>
          <w:rFonts w:ascii="Times New Roman" w:eastAsia="Times New Roman" w:hAnsi="Times New Roman" w:cs="Times New Roman"/>
          <w:b w:val="0"/>
          <w:bCs w:val="0"/>
          <w:iCs/>
          <w:sz w:val="26"/>
          <w:szCs w:val="26"/>
        </w:rPr>
      </w:pPr>
      <w:r w:rsidRPr="004E30A9">
        <w:rPr>
          <w:rStyle w:val="Strong"/>
          <w:rFonts w:ascii="Times New Roman" w:eastAsia="Times New Roman" w:hAnsi="Times New Roman" w:cs="Times New Roman"/>
          <w:sz w:val="26"/>
          <w:szCs w:val="26"/>
        </w:rPr>
        <w:t>1.1. Cơ sở pháp lý</w:t>
      </w:r>
      <w:r w:rsidRPr="004E30A9">
        <w:rPr>
          <w:rFonts w:ascii="Times New Roman" w:hAnsi="Times New Roman" w:cs="Times New Roman"/>
          <w:b/>
          <w:bCs/>
          <w:iCs/>
          <w:sz w:val="26"/>
          <w:szCs w:val="26"/>
        </w:rPr>
        <w:t xml:space="preserve"> về can thiệp sớm và xử lý tổ chức tài chính yếu kém</w:t>
      </w:r>
    </w:p>
    <w:p w14:paraId="185C0B24" w14:textId="38DC886E" w:rsidR="00FE425C" w:rsidRPr="004E30A9" w:rsidRDefault="00FE425C" w:rsidP="00FE425C">
      <w:pPr>
        <w:spacing w:before="120" w:after="120" w:line="240" w:lineRule="auto"/>
        <w:ind w:firstLine="709"/>
        <w:jc w:val="both"/>
        <w:rPr>
          <w:rFonts w:ascii="Times New Roman" w:hAnsi="Times New Roman" w:cs="Times New Roman"/>
          <w:b/>
          <w:bCs/>
          <w:sz w:val="26"/>
          <w:szCs w:val="26"/>
        </w:rPr>
      </w:pPr>
      <w:r w:rsidRPr="004E30A9">
        <w:rPr>
          <w:rStyle w:val="Strong"/>
          <w:rFonts w:ascii="Times New Roman" w:eastAsia="Times New Roman" w:hAnsi="Times New Roman" w:cs="Times New Roman"/>
          <w:b w:val="0"/>
          <w:i/>
          <w:sz w:val="26"/>
          <w:szCs w:val="26"/>
        </w:rPr>
        <w:t>- Luật Ngân hàng Nhật Bản</w:t>
      </w:r>
      <w:r w:rsidRPr="004E30A9">
        <w:rPr>
          <w:rFonts w:ascii="Times New Roman" w:hAnsi="Times New Roman" w:cs="Times New Roman"/>
          <w:b/>
          <w:i/>
          <w:iCs/>
          <w:sz w:val="26"/>
          <w:szCs w:val="26"/>
        </w:rPr>
        <w:t xml:space="preserve"> (</w:t>
      </w:r>
      <w:r w:rsidRPr="004E30A9">
        <w:rPr>
          <w:rStyle w:val="Strong"/>
          <w:rFonts w:ascii="Times New Roman" w:eastAsia="Times New Roman" w:hAnsi="Times New Roman" w:cs="Times New Roman"/>
          <w:b w:val="0"/>
          <w:i/>
          <w:sz w:val="26"/>
          <w:szCs w:val="26"/>
        </w:rPr>
        <w:t>Banking Act of Japan):</w:t>
      </w:r>
      <w:r w:rsidRPr="004E30A9">
        <w:rPr>
          <w:rStyle w:val="Strong"/>
          <w:rFonts w:ascii="Times New Roman" w:eastAsia="Times New Roman" w:hAnsi="Times New Roman" w:cs="Times New Roman"/>
          <w:sz w:val="26"/>
          <w:szCs w:val="26"/>
        </w:rPr>
        <w:t xml:space="preserve"> </w:t>
      </w:r>
      <w:r w:rsidR="00881A4F" w:rsidRPr="004E30A9">
        <w:rPr>
          <w:rFonts w:ascii="Times New Roman" w:hAnsi="Times New Roman" w:cs="Times New Roman"/>
          <w:sz w:val="26"/>
          <w:szCs w:val="26"/>
        </w:rPr>
        <w:t>Được ban hành lần đầu vào năm 1927, l</w:t>
      </w:r>
      <w:r w:rsidRPr="004E30A9">
        <w:rPr>
          <w:rFonts w:ascii="Times New Roman" w:hAnsi="Times New Roman" w:cs="Times New Roman"/>
          <w:sz w:val="26"/>
          <w:szCs w:val="26"/>
        </w:rPr>
        <w:t xml:space="preserve">à nền tảng pháp lý chính điều chỉnh hoạt động của các tổ chức ngân hàng, cung cấp các quy định về cấp phép, hoạt động, và các biện pháp xử lý ngân hàng gặp khó khăn, bao gồm cả việc sáp nhập, mua lại, và P&amp;A. </w:t>
      </w:r>
    </w:p>
    <w:p w14:paraId="001B7D95" w14:textId="77777777" w:rsidR="00A056CF" w:rsidRPr="004E30A9" w:rsidRDefault="00FE425C" w:rsidP="00A056CF">
      <w:pPr>
        <w:spacing w:before="120" w:after="120" w:line="240" w:lineRule="auto"/>
        <w:ind w:firstLine="709"/>
        <w:jc w:val="both"/>
        <w:rPr>
          <w:rFonts w:ascii="Times New Roman" w:hAnsi="Times New Roman"/>
          <w:sz w:val="26"/>
          <w:szCs w:val="26"/>
        </w:rPr>
      </w:pPr>
      <w:r w:rsidRPr="004E30A9">
        <w:rPr>
          <w:rStyle w:val="Strong"/>
          <w:rFonts w:ascii="Times New Roman" w:hAnsi="Times New Roman" w:cs="Times New Roman"/>
          <w:b w:val="0"/>
          <w:i/>
          <w:sz w:val="26"/>
          <w:szCs w:val="26"/>
        </w:rPr>
        <w:t>- Luật Bảo hiểm Tiền gửi</w:t>
      </w:r>
      <w:r w:rsidRPr="004E30A9">
        <w:rPr>
          <w:rFonts w:ascii="Times New Roman" w:hAnsi="Times New Roman" w:cs="Times New Roman"/>
          <w:i/>
          <w:sz w:val="26"/>
          <w:szCs w:val="26"/>
        </w:rPr>
        <w:t>:</w:t>
      </w:r>
      <w:r w:rsidRPr="004E30A9">
        <w:rPr>
          <w:rFonts w:ascii="Times New Roman" w:hAnsi="Times New Roman" w:cs="Times New Roman"/>
          <w:b/>
          <w:sz w:val="26"/>
          <w:szCs w:val="26"/>
        </w:rPr>
        <w:t xml:space="preserve"> </w:t>
      </w:r>
      <w:r w:rsidRPr="004E30A9">
        <w:rPr>
          <w:rFonts w:ascii="Times New Roman" w:hAnsi="Times New Roman" w:cs="Times New Roman"/>
          <w:sz w:val="26"/>
          <w:szCs w:val="26"/>
        </w:rPr>
        <w:t xml:space="preserve">Được thông qua vào năm 1971 và sau đó được sửa đổi nhiều lần, luật này tạo ra cơ chế bảo hiểm tiền gửi tại Nhật Bản. </w:t>
      </w:r>
      <w:r w:rsidR="000B70C3" w:rsidRPr="004E30A9">
        <w:rPr>
          <w:rFonts w:ascii="Times New Roman" w:hAnsi="Times New Roman" w:cs="Times New Roman"/>
          <w:sz w:val="26"/>
          <w:szCs w:val="26"/>
        </w:rPr>
        <w:t>Cơ quan bảo hiểm tiền gửi Nhật Bản (</w:t>
      </w:r>
      <w:r w:rsidRPr="004E30A9">
        <w:rPr>
          <w:rStyle w:val="Strong"/>
          <w:rFonts w:ascii="Times New Roman" w:hAnsi="Times New Roman" w:cs="Times New Roman"/>
          <w:b w:val="0"/>
          <w:sz w:val="26"/>
          <w:szCs w:val="26"/>
        </w:rPr>
        <w:t>DICJ</w:t>
      </w:r>
      <w:r w:rsidR="000B70C3" w:rsidRPr="004E30A9">
        <w:rPr>
          <w:rStyle w:val="Strong"/>
          <w:rFonts w:ascii="Times New Roman" w:hAnsi="Times New Roman" w:cs="Times New Roman"/>
          <w:b w:val="0"/>
          <w:sz w:val="26"/>
          <w:szCs w:val="26"/>
        </w:rPr>
        <w:t>)</w:t>
      </w:r>
      <w:r w:rsidRPr="004E30A9">
        <w:rPr>
          <w:rFonts w:ascii="Times New Roman" w:hAnsi="Times New Roman" w:cs="Times New Roman"/>
          <w:b/>
          <w:sz w:val="26"/>
          <w:szCs w:val="26"/>
        </w:rPr>
        <w:t xml:space="preserve"> </w:t>
      </w:r>
      <w:r w:rsidRPr="004E30A9">
        <w:rPr>
          <w:rFonts w:ascii="Times New Roman" w:hAnsi="Times New Roman" w:cs="Times New Roman"/>
          <w:sz w:val="26"/>
          <w:szCs w:val="26"/>
        </w:rPr>
        <w:t>có trách nhiệm bảo vệ quyền lợi của người gửi tiền và tham gia vào việc xử lý các ngân hàng phá sản hoặc gặp khó khăn tài chính thông qua các biện pháp như P&amp;A.</w:t>
      </w:r>
      <w:r w:rsidR="00881A4F" w:rsidRPr="004E30A9">
        <w:rPr>
          <w:rFonts w:ascii="Times New Roman" w:eastAsia="Times New Roman" w:hAnsi="Times New Roman"/>
          <w:sz w:val="26"/>
          <w:szCs w:val="26"/>
          <w:lang w:eastAsia="vi-VN"/>
        </w:rPr>
        <w:t xml:space="preserve"> </w:t>
      </w:r>
      <w:r w:rsidR="00A056CF" w:rsidRPr="004E30A9">
        <w:rPr>
          <w:rFonts w:ascii="Times New Roman" w:hAnsi="Times New Roman"/>
          <w:sz w:val="26"/>
          <w:szCs w:val="26"/>
        </w:rPr>
        <w:t xml:space="preserve">Kể từ khi được thành lập năm 1971 đến cuối năm 2022, DICJ đã tiến hành xử lý 182 tổ chức tài chính đổ vỡ. </w:t>
      </w:r>
    </w:p>
    <w:p w14:paraId="1E242531" w14:textId="2FAD1976" w:rsidR="00FE425C" w:rsidRPr="004E30A9" w:rsidRDefault="00881A4F" w:rsidP="00FE425C">
      <w:pPr>
        <w:spacing w:before="120" w:after="120" w:line="240" w:lineRule="auto"/>
        <w:ind w:firstLine="709"/>
        <w:jc w:val="both"/>
        <w:rPr>
          <w:rFonts w:ascii="Times New Roman" w:hAnsi="Times New Roman" w:cs="Times New Roman"/>
          <w:sz w:val="26"/>
          <w:szCs w:val="26"/>
        </w:rPr>
      </w:pPr>
      <w:r w:rsidRPr="004E30A9">
        <w:rPr>
          <w:rFonts w:ascii="Times New Roman" w:eastAsia="Times New Roman" w:hAnsi="Times New Roman"/>
          <w:sz w:val="26"/>
          <w:szCs w:val="26"/>
          <w:lang w:eastAsia="vi-VN"/>
        </w:rPr>
        <w:lastRenderedPageBreak/>
        <w:t>DICJ hiện đang hoạt động theo mô hình giảm thiểu tổn thất</w:t>
      </w:r>
      <w:r w:rsidRPr="004E30A9">
        <w:rPr>
          <w:rStyle w:val="FootnoteReference"/>
          <w:rFonts w:ascii="Times New Roman" w:eastAsia="Times New Roman" w:hAnsi="Times New Roman"/>
          <w:sz w:val="26"/>
          <w:szCs w:val="26"/>
          <w:lang w:eastAsia="vi-VN"/>
        </w:rPr>
        <w:footnoteReference w:id="6"/>
      </w:r>
      <w:r w:rsidRPr="004E30A9">
        <w:rPr>
          <w:rFonts w:ascii="Times New Roman" w:eastAsia="Times New Roman" w:hAnsi="Times New Roman"/>
          <w:sz w:val="26"/>
          <w:szCs w:val="26"/>
          <w:lang w:eastAsia="vi-VN"/>
        </w:rPr>
        <w:t xml:space="preserve">. </w:t>
      </w:r>
      <w:r w:rsidRPr="004E30A9">
        <w:rPr>
          <w:rFonts w:ascii="Times New Roman" w:hAnsi="Times New Roman"/>
          <w:sz w:val="26"/>
          <w:szCs w:val="26"/>
        </w:rPr>
        <w:t>Theo đó, DICJ đóng vai trò là cơ quan xử lý tại Nhật Bản và tham gia vào quá trình xử lý kể từ khi Cơ quan Dịch vụ Tài chính (FSA) tuyên bố tổ chức tài chính bị đổ vỡ và chỉ định DICJ là cơ quan xử lý. DICJ không có tham gia vào giai đoạn can thiệp sớm và không có chức năng giám sát an toàn.</w:t>
      </w:r>
      <w:r w:rsidR="00FE425C" w:rsidRPr="004E30A9">
        <w:rPr>
          <w:rFonts w:ascii="Times New Roman" w:hAnsi="Times New Roman" w:cs="Times New Roman"/>
          <w:sz w:val="26"/>
          <w:szCs w:val="26"/>
        </w:rPr>
        <w:t xml:space="preserve"> DICJ có thể thực hiện việc mua lại tài sản và nợ từ một ngân hàng phá sản, sau đó tìm kiếm một ngân hàng khác để tiếp nhận các tài sản lành mạnh và các nghĩa vụ tiền gửi của khách hàng. Điều này giúp duy trì niềm tin của công chúng và đảm bảo an toàn cho hệ thống ngân hàng.</w:t>
      </w:r>
      <w:r w:rsidRPr="004E30A9">
        <w:rPr>
          <w:rFonts w:ascii="Times New Roman" w:hAnsi="Times New Roman" w:cs="Times New Roman"/>
          <w:sz w:val="26"/>
          <w:szCs w:val="26"/>
        </w:rPr>
        <w:t xml:space="preserve"> </w:t>
      </w:r>
    </w:p>
    <w:p w14:paraId="4598F6B7" w14:textId="1AEC661B" w:rsidR="00A056CF" w:rsidRPr="004E30A9" w:rsidRDefault="00A056CF" w:rsidP="00A056CF">
      <w:pPr>
        <w:spacing w:before="120" w:after="120" w:line="240" w:lineRule="auto"/>
        <w:ind w:firstLine="709"/>
        <w:jc w:val="both"/>
        <w:rPr>
          <w:rFonts w:ascii="Times New Roman" w:hAnsi="Times New Roman"/>
          <w:sz w:val="26"/>
          <w:szCs w:val="26"/>
        </w:rPr>
      </w:pPr>
      <w:r w:rsidRPr="004E30A9">
        <w:rPr>
          <w:rFonts w:ascii="Times New Roman" w:hAnsi="Times New Roman"/>
          <w:sz w:val="26"/>
          <w:szCs w:val="26"/>
        </w:rPr>
        <w:t>Nhìn chung, DICJ tiếp quản ngân hàng đổ vỡ và chuyển giao cho tổ chức mua lại qua hình thức P&amp;A, bơm vốn/ góp vốn nhằm hỗ trợ xử lý, thành lập ngân hàng bắc cầu nếu chưa tìm được tổ chức mua lại, mua lại tài sản và nợ của ngân hàng đổ vỡ thông qua Công ty xử lý và thu hồi nợ (RCC)</w:t>
      </w:r>
      <w:r w:rsidRPr="004E30A9">
        <w:rPr>
          <w:rStyle w:val="FootnoteReference"/>
          <w:rFonts w:ascii="Times New Roman" w:hAnsi="Times New Roman"/>
          <w:sz w:val="26"/>
          <w:szCs w:val="26"/>
        </w:rPr>
        <w:footnoteReference w:id="7"/>
      </w:r>
      <w:r w:rsidRPr="004E30A9">
        <w:rPr>
          <w:rFonts w:ascii="Times New Roman" w:hAnsi="Times New Roman"/>
          <w:sz w:val="26"/>
          <w:szCs w:val="26"/>
        </w:rPr>
        <w:t xml:space="preserve">, điều tra tài sản liên quan đến gian lận và truy cứu trách nhiệm đối với các bên gây ra đổ vỡ… </w:t>
      </w:r>
    </w:p>
    <w:p w14:paraId="6BB39CB8" w14:textId="6C7F902A" w:rsidR="00FE425C" w:rsidRPr="004E30A9" w:rsidRDefault="00A056CF" w:rsidP="00FE425C">
      <w:pPr>
        <w:spacing w:before="120" w:after="120" w:line="240" w:lineRule="auto"/>
        <w:ind w:firstLine="709"/>
        <w:jc w:val="both"/>
        <w:rPr>
          <w:rStyle w:val="Strong"/>
          <w:rFonts w:ascii="Times New Roman" w:hAnsi="Times New Roman" w:cs="Times New Roman"/>
          <w:b w:val="0"/>
          <w:bCs w:val="0"/>
          <w:i/>
          <w:sz w:val="26"/>
          <w:szCs w:val="26"/>
        </w:rPr>
      </w:pPr>
      <w:r w:rsidRPr="004E30A9">
        <w:rPr>
          <w:rFonts w:ascii="Times New Roman" w:eastAsia="Times New Roman" w:hAnsi="Times New Roman"/>
          <w:sz w:val="26"/>
          <w:szCs w:val="26"/>
          <w:lang w:eastAsia="vi-VN"/>
        </w:rPr>
        <w:t>DICJ có thể hỗ trợ tài chính cho tổ chức tài chính tiếp nhận hoặc công ty mẹ của ngân hàng mua tài sản, tiếp nhận nghĩa vụ hoặc sáp nhập với một tổ chức tài chính bị phá sản nhằm tạo điều kiện cho giao dịch này. Hỗ trợ tài chính có thể dưới dạng: trợ cấp tiền mặt, cho vay hoặc ký quỹ, mua tài sản, bảo lãnh hoặc tiếp nhận nợ, mua cổ phiếu ưu đãi và các công cụ huy động vốn khác, hoặc chia sẻ tổn thất.</w:t>
      </w:r>
      <w:r w:rsidR="00FE425C" w:rsidRPr="004E30A9">
        <w:rPr>
          <w:rStyle w:val="Strong"/>
          <w:rFonts w:ascii="Times New Roman" w:hAnsi="Times New Roman" w:cs="Times New Roman"/>
          <w:b w:val="0"/>
          <w:i/>
          <w:sz w:val="26"/>
          <w:szCs w:val="26"/>
        </w:rPr>
        <w:t xml:space="preserve">- Luật đảm bảo hoạt động an toàn, lành mạnh của TCTC: </w:t>
      </w:r>
      <w:r w:rsidR="00FE425C" w:rsidRPr="004E30A9">
        <w:rPr>
          <w:rStyle w:val="Strong"/>
          <w:rFonts w:ascii="Times New Roman" w:hAnsi="Times New Roman" w:cs="Times New Roman"/>
          <w:b w:val="0"/>
          <w:sz w:val="26"/>
          <w:szCs w:val="26"/>
        </w:rPr>
        <w:t xml:space="preserve">Luật là cơ sở để triển khai </w:t>
      </w:r>
      <w:r w:rsidR="00FE425C" w:rsidRPr="004E30A9">
        <w:rPr>
          <w:rStyle w:val="Strong"/>
          <w:rFonts w:ascii="Times New Roman" w:hAnsi="Times New Roman" w:cs="Times New Roman"/>
          <w:b w:val="0"/>
          <w:sz w:val="26"/>
          <w:szCs w:val="26"/>
          <w:lang w:val="vi-VN"/>
        </w:rPr>
        <w:t>can thiệp sớm - Prompt Corrective Action (</w:t>
      </w:r>
      <w:r w:rsidR="00FE425C" w:rsidRPr="004E30A9">
        <w:rPr>
          <w:rStyle w:val="Strong"/>
          <w:rFonts w:ascii="Times New Roman" w:hAnsi="Times New Roman" w:cs="Times New Roman"/>
          <w:b w:val="0"/>
          <w:sz w:val="26"/>
          <w:szCs w:val="26"/>
        </w:rPr>
        <w:t>PCA</w:t>
      </w:r>
      <w:r w:rsidR="00FE425C" w:rsidRPr="004E30A9">
        <w:rPr>
          <w:rStyle w:val="Strong"/>
          <w:rFonts w:ascii="Times New Roman" w:hAnsi="Times New Roman" w:cs="Times New Roman"/>
          <w:b w:val="0"/>
          <w:sz w:val="26"/>
          <w:szCs w:val="26"/>
          <w:lang w:val="vi-VN"/>
        </w:rPr>
        <w:t>)</w:t>
      </w:r>
      <w:r w:rsidR="00FE425C" w:rsidRPr="004E30A9">
        <w:rPr>
          <w:rStyle w:val="Strong"/>
          <w:rFonts w:ascii="Times New Roman" w:hAnsi="Times New Roman" w:cs="Times New Roman"/>
          <w:b w:val="0"/>
          <w:sz w:val="26"/>
          <w:szCs w:val="26"/>
        </w:rPr>
        <w:t xml:space="preserve"> tại Nhật Bản. Khuôn khổ PCA được đưa vào áp dụng vào tháng 4 năm 1998 trong bối cảnh Nhật Bản đối mặt với cuộc khủng hoảng ngân hàng trên toàn hệ thống, trong đó tất cả các ngân hàng lớn và ngân hàng khu vực đã đánh giá sai vấn đề nợ xấu và định giá tài sản.</w:t>
      </w:r>
    </w:p>
    <w:p w14:paraId="64902977" w14:textId="5E707612" w:rsidR="00FE425C" w:rsidRPr="004E30A9" w:rsidRDefault="00FE425C" w:rsidP="00FE425C">
      <w:pPr>
        <w:spacing w:before="120" w:after="120" w:line="240" w:lineRule="auto"/>
        <w:ind w:firstLine="709"/>
        <w:jc w:val="both"/>
        <w:rPr>
          <w:rFonts w:ascii="Times New Roman" w:hAnsi="Times New Roman" w:cs="Times New Roman"/>
          <w:sz w:val="26"/>
          <w:szCs w:val="26"/>
        </w:rPr>
      </w:pPr>
      <w:r w:rsidRPr="004E30A9">
        <w:rPr>
          <w:rFonts w:ascii="Times New Roman" w:hAnsi="Times New Roman" w:cs="Times New Roman"/>
          <w:bCs/>
          <w:i/>
          <w:iCs/>
          <w:sz w:val="26"/>
          <w:szCs w:val="26"/>
        </w:rPr>
        <w:t>- Luật củng cố hệ thống tài chính</w:t>
      </w:r>
      <w:r w:rsidRPr="004E30A9">
        <w:rPr>
          <w:rStyle w:val="Strong"/>
          <w:rFonts w:ascii="Times New Roman" w:eastAsia="Times New Roman" w:hAnsi="Times New Roman" w:cs="Times New Roman"/>
          <w:i/>
          <w:sz w:val="26"/>
          <w:szCs w:val="26"/>
        </w:rPr>
        <w:t xml:space="preserve"> </w:t>
      </w:r>
      <w:r w:rsidRPr="004E30A9">
        <w:rPr>
          <w:rStyle w:val="Strong"/>
          <w:rFonts w:ascii="Times New Roman" w:eastAsia="Times New Roman" w:hAnsi="Times New Roman" w:cs="Times New Roman"/>
          <w:b w:val="0"/>
          <w:i/>
          <w:sz w:val="26"/>
          <w:szCs w:val="26"/>
        </w:rPr>
        <w:t>2004 (Act on Special Measures for Strengthening Financial Functions):</w:t>
      </w:r>
      <w:r w:rsidRPr="004E30A9">
        <w:rPr>
          <w:rStyle w:val="Strong"/>
          <w:rFonts w:ascii="Times New Roman" w:eastAsia="Times New Roman" w:hAnsi="Times New Roman" w:cs="Times New Roman"/>
          <w:sz w:val="26"/>
          <w:szCs w:val="26"/>
        </w:rPr>
        <w:t xml:space="preserve"> </w:t>
      </w:r>
      <w:r w:rsidRPr="004E30A9">
        <w:rPr>
          <w:rFonts w:ascii="Times New Roman" w:hAnsi="Times New Roman" w:cs="Times New Roman"/>
          <w:sz w:val="26"/>
          <w:szCs w:val="26"/>
        </w:rPr>
        <w:t xml:space="preserve">Được thông qua nhằm đối phó với các cuộc khủng hoảng tài chính, luật này quy định các biện pháp xử lý đặc biệt dành cho các ngân hàng gặp khó khăn, bao gồm P&amp;A. </w:t>
      </w:r>
      <w:r w:rsidRPr="004E30A9">
        <w:rPr>
          <w:rStyle w:val="Strong"/>
          <w:rFonts w:ascii="Times New Roman" w:eastAsia="Times New Roman" w:hAnsi="Times New Roman" w:cs="Times New Roman"/>
          <w:b w:val="0"/>
          <w:sz w:val="26"/>
          <w:szCs w:val="26"/>
        </w:rPr>
        <w:t>FSA</w:t>
      </w:r>
      <w:r w:rsidRPr="004E30A9">
        <w:rPr>
          <w:rFonts w:ascii="Times New Roman" w:hAnsi="Times New Roman" w:cs="Times New Roman"/>
          <w:b/>
          <w:sz w:val="26"/>
          <w:szCs w:val="26"/>
        </w:rPr>
        <w:t xml:space="preserve"> </w:t>
      </w:r>
      <w:r w:rsidRPr="004E30A9">
        <w:rPr>
          <w:rFonts w:ascii="Times New Roman" w:hAnsi="Times New Roman" w:cs="Times New Roman"/>
          <w:sz w:val="26"/>
          <w:szCs w:val="26"/>
        </w:rPr>
        <w:t>và</w:t>
      </w:r>
      <w:r w:rsidRPr="004E30A9">
        <w:rPr>
          <w:rFonts w:ascii="Times New Roman" w:hAnsi="Times New Roman" w:cs="Times New Roman"/>
          <w:b/>
          <w:sz w:val="26"/>
          <w:szCs w:val="26"/>
        </w:rPr>
        <w:t xml:space="preserve"> </w:t>
      </w:r>
      <w:r w:rsidRPr="004E30A9">
        <w:rPr>
          <w:rStyle w:val="Strong"/>
          <w:rFonts w:ascii="Times New Roman" w:eastAsia="Times New Roman" w:hAnsi="Times New Roman" w:cs="Times New Roman"/>
          <w:b w:val="0"/>
          <w:sz w:val="26"/>
          <w:szCs w:val="26"/>
        </w:rPr>
        <w:t>DICJ</w:t>
      </w:r>
      <w:r w:rsidRPr="004E30A9">
        <w:rPr>
          <w:rFonts w:ascii="Times New Roman" w:hAnsi="Times New Roman" w:cs="Times New Roman"/>
          <w:sz w:val="26"/>
          <w:szCs w:val="26"/>
        </w:rPr>
        <w:t xml:space="preserve"> có thể triển khai các biện pháp như tái cấp vốn, hỗ trợ tài chính </w:t>
      </w:r>
      <w:r w:rsidRPr="004E30A9">
        <w:rPr>
          <w:rFonts w:ascii="Times New Roman" w:hAnsi="Times New Roman" w:cs="Times New Roman"/>
          <w:sz w:val="26"/>
          <w:szCs w:val="26"/>
        </w:rPr>
        <w:lastRenderedPageBreak/>
        <w:t>hoặc khuyến khích các ngân hàng mạnh hơn tiếp nhận ngân hàng yếu thông qua cơ chế P&amp;A. Luật này cũng quy định các quy trình đối với những ngân hàng có tầm quan trọng hệ thống nhằm bảo vệ sự ổn định của hệ thống tài chính.</w:t>
      </w:r>
    </w:p>
    <w:p w14:paraId="0993A65B" w14:textId="62669569" w:rsidR="00FE425C" w:rsidRPr="004E30A9" w:rsidRDefault="00FE425C" w:rsidP="00FE425C">
      <w:pPr>
        <w:pStyle w:val="Heading2"/>
        <w:spacing w:before="120" w:after="120"/>
        <w:ind w:firstLine="709"/>
        <w:jc w:val="both"/>
        <w:rPr>
          <w:rFonts w:ascii="Times New Roman" w:hAnsi="Times New Roman"/>
          <w:b/>
          <w:bCs/>
          <w:i w:val="0"/>
          <w:iCs w:val="0"/>
          <w:color w:val="auto"/>
        </w:rPr>
      </w:pPr>
      <w:bookmarkStart w:id="1" w:name="_Toc181274305"/>
      <w:bookmarkStart w:id="2" w:name="_Toc184511521"/>
      <w:r w:rsidRPr="004E30A9">
        <w:rPr>
          <w:rFonts w:ascii="Times New Roman" w:hAnsi="Times New Roman"/>
          <w:b/>
          <w:bCs/>
          <w:i w:val="0"/>
          <w:color w:val="auto"/>
          <w:lang w:val="en-US"/>
        </w:rPr>
        <w:t>1.2</w:t>
      </w:r>
      <w:r w:rsidRPr="004E30A9">
        <w:rPr>
          <w:rFonts w:ascii="Times New Roman" w:hAnsi="Times New Roman"/>
          <w:b/>
          <w:bCs/>
          <w:i w:val="0"/>
          <w:color w:val="auto"/>
        </w:rPr>
        <w:t>. Giai đoạn can thiệp sớm</w:t>
      </w:r>
      <w:bookmarkEnd w:id="1"/>
      <w:bookmarkEnd w:id="2"/>
    </w:p>
    <w:p w14:paraId="0061A8A9" w14:textId="77777777" w:rsidR="00FE425C" w:rsidRPr="004E30A9" w:rsidRDefault="00FE425C" w:rsidP="00FE425C">
      <w:pPr>
        <w:pStyle w:val="Heading3"/>
        <w:spacing w:before="120" w:after="120" w:line="240" w:lineRule="auto"/>
        <w:ind w:firstLine="709"/>
        <w:jc w:val="both"/>
        <w:rPr>
          <w:rFonts w:ascii="Times New Roman" w:hAnsi="Times New Roman"/>
          <w:b w:val="0"/>
          <w:bCs w:val="0"/>
          <w:i/>
          <w:iCs/>
        </w:rPr>
      </w:pPr>
      <w:bookmarkStart w:id="3" w:name="_Toc181274306"/>
      <w:bookmarkStart w:id="4" w:name="_Toc184511522"/>
      <w:r w:rsidRPr="004E30A9">
        <w:rPr>
          <w:rFonts w:ascii="Times New Roman" w:hAnsi="Times New Roman"/>
          <w:b w:val="0"/>
          <w:bCs w:val="0"/>
          <w:i/>
          <w:iCs/>
        </w:rPr>
        <w:t>a. Thẩm quyền quyết định can thiệp sớm</w:t>
      </w:r>
      <w:bookmarkEnd w:id="3"/>
      <w:bookmarkEnd w:id="4"/>
      <w:r w:rsidRPr="004E30A9">
        <w:rPr>
          <w:rFonts w:ascii="Times New Roman" w:hAnsi="Times New Roman"/>
          <w:b w:val="0"/>
          <w:bCs w:val="0"/>
          <w:i/>
          <w:iCs/>
        </w:rPr>
        <w:t xml:space="preserve"> – Prompt Corrective Action</w:t>
      </w:r>
    </w:p>
    <w:p w14:paraId="3D900654" w14:textId="77777777" w:rsidR="00FE425C" w:rsidRPr="004E30A9" w:rsidRDefault="00FE425C" w:rsidP="00FE425C">
      <w:pPr>
        <w:pStyle w:val="ListParagraph"/>
        <w:tabs>
          <w:tab w:val="left" w:pos="284"/>
        </w:tabs>
        <w:spacing w:before="120" w:after="120"/>
        <w:ind w:left="0" w:firstLine="709"/>
        <w:contextualSpacing w:val="0"/>
        <w:jc w:val="both"/>
        <w:rPr>
          <w:rFonts w:ascii="Times New Roman" w:hAnsi="Times New Roman" w:cs="Times New Roman"/>
          <w:sz w:val="26"/>
          <w:szCs w:val="26"/>
        </w:rPr>
      </w:pPr>
      <w:r w:rsidRPr="004E30A9">
        <w:rPr>
          <w:rFonts w:ascii="Times New Roman" w:hAnsi="Times New Roman" w:cs="Times New Roman"/>
          <w:sz w:val="26"/>
          <w:szCs w:val="26"/>
        </w:rPr>
        <w:t>Trong trường hợp ngân hàng gặp phải vấn đề nghiêm trọng, FSA sẽ yêu cầu ngân hàng đó thực hiện cải thiện hoạt động kinh doanh hoặc thực hiện bất kỳ biện pháp nào khác theo Điều 26 của Đạo luật Ngân hàng (hoặc hành động khắc phục kịp thời)</w:t>
      </w:r>
      <w:r w:rsidRPr="004E30A9">
        <w:rPr>
          <w:rFonts w:ascii="Times New Roman" w:hAnsi="Times New Roman" w:cs="Times New Roman"/>
          <w:sz w:val="26"/>
          <w:szCs w:val="26"/>
          <w:vertAlign w:val="superscript"/>
        </w:rPr>
        <w:footnoteReference w:id="8"/>
      </w:r>
      <w:r w:rsidRPr="004E30A9">
        <w:rPr>
          <w:rFonts w:ascii="Times New Roman" w:hAnsi="Times New Roman" w:cs="Times New Roman"/>
          <w:sz w:val="26"/>
          <w:szCs w:val="26"/>
        </w:rPr>
        <w:t>.</w:t>
      </w:r>
      <w:bookmarkStart w:id="5" w:name="_Toc181274307"/>
      <w:bookmarkStart w:id="6" w:name="_Toc184511523"/>
      <w:r w:rsidRPr="004E30A9">
        <w:rPr>
          <w:rFonts w:ascii="Times New Roman" w:hAnsi="Times New Roman" w:cs="Times New Roman"/>
          <w:sz w:val="26"/>
          <w:szCs w:val="26"/>
        </w:rPr>
        <w:t xml:space="preserve"> FSA là cơ quan duy nhất chịu trách nhiệm thực hiện PCA.</w:t>
      </w:r>
    </w:p>
    <w:p w14:paraId="594FA16D" w14:textId="77777777" w:rsidR="00FE425C" w:rsidRPr="004E30A9" w:rsidRDefault="00FE425C" w:rsidP="00FE425C">
      <w:pPr>
        <w:pStyle w:val="ListParagraph"/>
        <w:tabs>
          <w:tab w:val="left" w:pos="284"/>
        </w:tabs>
        <w:spacing w:before="120" w:after="120"/>
        <w:ind w:left="0" w:firstLine="709"/>
        <w:contextualSpacing w:val="0"/>
        <w:jc w:val="both"/>
        <w:rPr>
          <w:rFonts w:ascii="Times New Roman" w:hAnsi="Times New Roman" w:cs="Times New Roman"/>
          <w:i/>
          <w:iCs/>
          <w:sz w:val="26"/>
          <w:szCs w:val="26"/>
        </w:rPr>
      </w:pPr>
      <w:r w:rsidRPr="004E30A9">
        <w:rPr>
          <w:rFonts w:ascii="Times New Roman" w:hAnsi="Times New Roman" w:cs="Times New Roman"/>
          <w:i/>
          <w:iCs/>
          <w:sz w:val="26"/>
          <w:szCs w:val="26"/>
        </w:rPr>
        <w:t>b. Các điều kiện và biện pháp can thiệp sớm</w:t>
      </w:r>
      <w:bookmarkEnd w:id="5"/>
      <w:bookmarkEnd w:id="6"/>
    </w:p>
    <w:p w14:paraId="5EF0C3D0" w14:textId="77777777" w:rsidR="00FE425C" w:rsidRPr="004E30A9" w:rsidRDefault="00FE425C" w:rsidP="00FE425C">
      <w:pPr>
        <w:pStyle w:val="ListParagraph"/>
        <w:tabs>
          <w:tab w:val="left" w:pos="284"/>
        </w:tabs>
        <w:spacing w:before="120" w:after="120"/>
        <w:ind w:left="0" w:firstLine="709"/>
        <w:contextualSpacing w:val="0"/>
        <w:jc w:val="both"/>
        <w:rPr>
          <w:rFonts w:ascii="Times New Roman" w:hAnsi="Times New Roman" w:cs="Times New Roman"/>
          <w:sz w:val="26"/>
          <w:szCs w:val="26"/>
        </w:rPr>
      </w:pPr>
      <w:r w:rsidRPr="004E30A9">
        <w:rPr>
          <w:rFonts w:ascii="Times New Roman" w:hAnsi="Times New Roman" w:cs="Times New Roman"/>
          <w:sz w:val="26"/>
          <w:szCs w:val="26"/>
        </w:rPr>
        <w:t>Các đặc điểm chính của khuôn khổ PCA đối với các ngân hàng quốc tế tại Nhật Bản:</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68"/>
        <w:gridCol w:w="1479"/>
        <w:gridCol w:w="1639"/>
        <w:gridCol w:w="1641"/>
        <w:gridCol w:w="3303"/>
      </w:tblGrid>
      <w:tr w:rsidR="004D2F23" w:rsidRPr="00EB6ED7" w14:paraId="0BFFA29B" w14:textId="77777777" w:rsidTr="002D39C7">
        <w:tc>
          <w:tcPr>
            <w:tcW w:w="770" w:type="pct"/>
            <w:shd w:val="clear" w:color="auto" w:fill="auto"/>
            <w:vAlign w:val="center"/>
          </w:tcPr>
          <w:p w14:paraId="5594EE02" w14:textId="77777777" w:rsidR="00FE425C" w:rsidRPr="004E30A9" w:rsidRDefault="00FE425C" w:rsidP="002D39C7">
            <w:pPr>
              <w:pStyle w:val="ListParagraph"/>
              <w:tabs>
                <w:tab w:val="left" w:pos="284"/>
              </w:tabs>
              <w:ind w:left="0"/>
              <w:contextualSpacing w:val="0"/>
              <w:jc w:val="center"/>
              <w:rPr>
                <w:rFonts w:ascii="Times New Roman" w:hAnsi="Times New Roman" w:cs="Times New Roman"/>
                <w:b/>
                <w:bCs/>
                <w:sz w:val="26"/>
                <w:szCs w:val="26"/>
                <w:lang w:val="vi-VN"/>
              </w:rPr>
            </w:pPr>
            <w:r w:rsidRPr="004E30A9">
              <w:rPr>
                <w:rFonts w:ascii="Times New Roman" w:hAnsi="Times New Roman" w:cs="Times New Roman"/>
                <w:b/>
                <w:bCs/>
                <w:sz w:val="26"/>
                <w:szCs w:val="26"/>
              </w:rPr>
              <w:t>Phân loại ngân hàng thiếu vốn</w:t>
            </w:r>
          </w:p>
        </w:tc>
        <w:tc>
          <w:tcPr>
            <w:tcW w:w="776" w:type="pct"/>
            <w:shd w:val="clear" w:color="auto" w:fill="auto"/>
            <w:vAlign w:val="center"/>
          </w:tcPr>
          <w:p w14:paraId="4D7BAEB3" w14:textId="77777777" w:rsidR="00FE425C" w:rsidRPr="004E30A9" w:rsidRDefault="00FE425C" w:rsidP="002D39C7">
            <w:pPr>
              <w:pStyle w:val="ListParagraph"/>
              <w:tabs>
                <w:tab w:val="left" w:pos="284"/>
              </w:tabs>
              <w:ind w:left="0"/>
              <w:contextualSpacing w:val="0"/>
              <w:jc w:val="center"/>
              <w:rPr>
                <w:rFonts w:ascii="Times New Roman" w:hAnsi="Times New Roman" w:cs="Times New Roman"/>
                <w:b/>
                <w:bCs/>
                <w:sz w:val="26"/>
                <w:szCs w:val="26"/>
              </w:rPr>
            </w:pPr>
            <w:r w:rsidRPr="004E30A9">
              <w:rPr>
                <w:rFonts w:ascii="Times New Roman" w:hAnsi="Times New Roman" w:cs="Times New Roman"/>
                <w:b/>
                <w:bCs/>
                <w:sz w:val="26"/>
                <w:szCs w:val="26"/>
              </w:rPr>
              <w:t>Tỷ lệ an toàn vốn</w:t>
            </w:r>
          </w:p>
        </w:tc>
        <w:tc>
          <w:tcPr>
            <w:tcW w:w="860" w:type="pct"/>
            <w:shd w:val="clear" w:color="auto" w:fill="auto"/>
            <w:vAlign w:val="center"/>
          </w:tcPr>
          <w:p w14:paraId="1CE9D90E" w14:textId="77777777" w:rsidR="00FE425C" w:rsidRPr="004E30A9" w:rsidRDefault="00FE425C" w:rsidP="002D39C7">
            <w:pPr>
              <w:pStyle w:val="ListParagraph"/>
              <w:tabs>
                <w:tab w:val="left" w:pos="284"/>
              </w:tabs>
              <w:ind w:left="0"/>
              <w:contextualSpacing w:val="0"/>
              <w:jc w:val="center"/>
              <w:rPr>
                <w:rFonts w:ascii="Times New Roman" w:hAnsi="Times New Roman" w:cs="Times New Roman"/>
                <w:b/>
                <w:bCs/>
                <w:sz w:val="26"/>
                <w:szCs w:val="26"/>
              </w:rPr>
            </w:pPr>
            <w:r w:rsidRPr="004E30A9">
              <w:rPr>
                <w:rFonts w:ascii="Times New Roman" w:hAnsi="Times New Roman" w:cs="Times New Roman"/>
                <w:b/>
                <w:bCs/>
                <w:sz w:val="26"/>
                <w:szCs w:val="26"/>
              </w:rPr>
              <w:t>Tỷ lệ vốn cấp 1</w:t>
            </w:r>
          </w:p>
        </w:tc>
        <w:tc>
          <w:tcPr>
            <w:tcW w:w="861" w:type="pct"/>
            <w:shd w:val="clear" w:color="auto" w:fill="auto"/>
            <w:vAlign w:val="center"/>
          </w:tcPr>
          <w:p w14:paraId="5238A143" w14:textId="77777777" w:rsidR="00FE425C" w:rsidRPr="004E30A9" w:rsidRDefault="00FE425C" w:rsidP="002D39C7">
            <w:pPr>
              <w:pStyle w:val="ListParagraph"/>
              <w:tabs>
                <w:tab w:val="left" w:pos="284"/>
              </w:tabs>
              <w:ind w:left="0"/>
              <w:contextualSpacing w:val="0"/>
              <w:jc w:val="center"/>
              <w:rPr>
                <w:rFonts w:ascii="Times New Roman" w:hAnsi="Times New Roman" w:cs="Times New Roman"/>
                <w:b/>
                <w:bCs/>
                <w:sz w:val="26"/>
                <w:szCs w:val="26"/>
                <w:lang w:val="vi-VN"/>
              </w:rPr>
            </w:pPr>
            <w:r w:rsidRPr="004E30A9">
              <w:rPr>
                <w:rFonts w:ascii="Times New Roman" w:hAnsi="Times New Roman" w:cs="Times New Roman"/>
                <w:b/>
                <w:bCs/>
                <w:sz w:val="26"/>
                <w:szCs w:val="26"/>
              </w:rPr>
              <w:t>Tỷ lệ vốn lõi cấp 1 (CET1)</w:t>
            </w:r>
          </w:p>
        </w:tc>
        <w:tc>
          <w:tcPr>
            <w:tcW w:w="1734" w:type="pct"/>
            <w:shd w:val="clear" w:color="auto" w:fill="auto"/>
            <w:vAlign w:val="center"/>
          </w:tcPr>
          <w:p w14:paraId="618F6380" w14:textId="77777777" w:rsidR="00FE425C" w:rsidRPr="004E30A9" w:rsidRDefault="00FE425C" w:rsidP="002D39C7">
            <w:pPr>
              <w:pStyle w:val="ListParagraph"/>
              <w:tabs>
                <w:tab w:val="left" w:pos="284"/>
              </w:tabs>
              <w:ind w:left="0"/>
              <w:contextualSpacing w:val="0"/>
              <w:jc w:val="center"/>
              <w:rPr>
                <w:rFonts w:ascii="Times New Roman" w:hAnsi="Times New Roman" w:cs="Times New Roman"/>
                <w:b/>
                <w:bCs/>
                <w:sz w:val="26"/>
                <w:szCs w:val="26"/>
              </w:rPr>
            </w:pPr>
            <w:r w:rsidRPr="004E30A9">
              <w:rPr>
                <w:rFonts w:ascii="Times New Roman" w:hAnsi="Times New Roman" w:cs="Times New Roman"/>
                <w:b/>
                <w:bCs/>
                <w:sz w:val="26"/>
                <w:szCs w:val="26"/>
              </w:rPr>
              <w:t>Thẩm quyền</w:t>
            </w:r>
          </w:p>
          <w:p w14:paraId="54E90F5F" w14:textId="77777777" w:rsidR="00FE425C" w:rsidRPr="004E30A9" w:rsidRDefault="00FE425C" w:rsidP="002D39C7">
            <w:pPr>
              <w:pStyle w:val="ListParagraph"/>
              <w:tabs>
                <w:tab w:val="left" w:pos="284"/>
              </w:tabs>
              <w:ind w:left="0"/>
              <w:contextualSpacing w:val="0"/>
              <w:jc w:val="center"/>
              <w:rPr>
                <w:rFonts w:ascii="Times New Roman" w:hAnsi="Times New Roman" w:cs="Times New Roman"/>
                <w:b/>
                <w:bCs/>
                <w:sz w:val="26"/>
                <w:szCs w:val="26"/>
              </w:rPr>
            </w:pPr>
            <w:r w:rsidRPr="004E30A9">
              <w:rPr>
                <w:rFonts w:ascii="Times New Roman" w:hAnsi="Times New Roman" w:cs="Times New Roman"/>
                <w:b/>
                <w:bCs/>
                <w:sz w:val="26"/>
                <w:szCs w:val="26"/>
              </w:rPr>
              <w:t>của FSA</w:t>
            </w:r>
          </w:p>
        </w:tc>
      </w:tr>
      <w:tr w:rsidR="004D2F23" w:rsidRPr="00EB6ED7" w14:paraId="11738617" w14:textId="77777777" w:rsidTr="002D39C7">
        <w:tc>
          <w:tcPr>
            <w:tcW w:w="770" w:type="pct"/>
            <w:shd w:val="clear" w:color="auto" w:fill="auto"/>
            <w:vAlign w:val="center"/>
          </w:tcPr>
          <w:p w14:paraId="690DC7C8" w14:textId="77777777" w:rsidR="00FE425C" w:rsidRPr="004E30A9" w:rsidRDefault="00FE425C" w:rsidP="002D39C7">
            <w:pPr>
              <w:pStyle w:val="ListParagraph"/>
              <w:tabs>
                <w:tab w:val="left" w:pos="284"/>
              </w:tabs>
              <w:ind w:left="0"/>
              <w:contextualSpacing w:val="0"/>
              <w:jc w:val="both"/>
              <w:rPr>
                <w:rFonts w:ascii="Times New Roman" w:hAnsi="Times New Roman" w:cs="Times New Roman"/>
                <w:sz w:val="26"/>
                <w:szCs w:val="26"/>
              </w:rPr>
            </w:pPr>
          </w:p>
        </w:tc>
        <w:tc>
          <w:tcPr>
            <w:tcW w:w="776" w:type="pct"/>
            <w:shd w:val="clear" w:color="auto" w:fill="auto"/>
            <w:vAlign w:val="center"/>
          </w:tcPr>
          <w:p w14:paraId="50B63BB1" w14:textId="77777777" w:rsidR="00FE425C" w:rsidRPr="004E30A9" w:rsidRDefault="00FE425C" w:rsidP="002D39C7">
            <w:pPr>
              <w:pStyle w:val="ListParagraph"/>
              <w:tabs>
                <w:tab w:val="left" w:pos="284"/>
              </w:tabs>
              <w:ind w:left="0"/>
              <w:contextualSpacing w:val="0"/>
              <w:jc w:val="both"/>
              <w:rPr>
                <w:rFonts w:ascii="Times New Roman" w:hAnsi="Times New Roman" w:cs="Times New Roman"/>
                <w:sz w:val="26"/>
                <w:szCs w:val="26"/>
              </w:rPr>
            </w:pPr>
            <w:r w:rsidRPr="004E30A9">
              <w:rPr>
                <w:rFonts w:ascii="Times New Roman" w:hAnsi="Times New Roman" w:cs="Times New Roman"/>
                <w:sz w:val="26"/>
                <w:szCs w:val="26"/>
              </w:rPr>
              <w:t>8% hoặc nhiều hơn và</w:t>
            </w:r>
          </w:p>
        </w:tc>
        <w:tc>
          <w:tcPr>
            <w:tcW w:w="860" w:type="pct"/>
            <w:shd w:val="clear" w:color="auto" w:fill="auto"/>
            <w:vAlign w:val="center"/>
          </w:tcPr>
          <w:p w14:paraId="7A1CCEB0" w14:textId="77777777" w:rsidR="00FE425C" w:rsidRPr="004E30A9" w:rsidRDefault="00FE425C" w:rsidP="002D39C7">
            <w:pPr>
              <w:pStyle w:val="ListParagraph"/>
              <w:tabs>
                <w:tab w:val="left" w:pos="284"/>
              </w:tabs>
              <w:ind w:left="0"/>
              <w:contextualSpacing w:val="0"/>
              <w:jc w:val="both"/>
              <w:rPr>
                <w:rFonts w:ascii="Times New Roman" w:hAnsi="Times New Roman" w:cs="Times New Roman"/>
                <w:sz w:val="26"/>
                <w:szCs w:val="26"/>
              </w:rPr>
            </w:pPr>
            <w:r w:rsidRPr="004E30A9">
              <w:rPr>
                <w:rFonts w:ascii="Times New Roman" w:hAnsi="Times New Roman" w:cs="Times New Roman"/>
                <w:sz w:val="26"/>
                <w:szCs w:val="26"/>
              </w:rPr>
              <w:t>6% hoặc nhiều hơn và</w:t>
            </w:r>
          </w:p>
        </w:tc>
        <w:tc>
          <w:tcPr>
            <w:tcW w:w="861" w:type="pct"/>
            <w:shd w:val="clear" w:color="auto" w:fill="auto"/>
            <w:vAlign w:val="center"/>
          </w:tcPr>
          <w:p w14:paraId="3E322A87" w14:textId="77777777" w:rsidR="00FE425C" w:rsidRPr="004E30A9" w:rsidRDefault="00FE425C" w:rsidP="002D39C7">
            <w:pPr>
              <w:pStyle w:val="ListParagraph"/>
              <w:tabs>
                <w:tab w:val="left" w:pos="284"/>
              </w:tabs>
              <w:ind w:left="0"/>
              <w:contextualSpacing w:val="0"/>
              <w:jc w:val="both"/>
              <w:rPr>
                <w:rFonts w:ascii="Times New Roman" w:hAnsi="Times New Roman" w:cs="Times New Roman"/>
                <w:sz w:val="26"/>
                <w:szCs w:val="26"/>
              </w:rPr>
            </w:pPr>
            <w:r w:rsidRPr="004E30A9">
              <w:rPr>
                <w:rFonts w:ascii="Times New Roman" w:hAnsi="Times New Roman" w:cs="Times New Roman"/>
                <w:sz w:val="26"/>
                <w:szCs w:val="26"/>
              </w:rPr>
              <w:t>4,5% hoặc nhiều hơn</w:t>
            </w:r>
          </w:p>
        </w:tc>
        <w:tc>
          <w:tcPr>
            <w:tcW w:w="1734" w:type="pct"/>
            <w:shd w:val="clear" w:color="auto" w:fill="auto"/>
            <w:vAlign w:val="center"/>
          </w:tcPr>
          <w:p w14:paraId="259648CC" w14:textId="77777777" w:rsidR="00FE425C" w:rsidRPr="004E30A9" w:rsidRDefault="00FE425C" w:rsidP="002D39C7">
            <w:pPr>
              <w:pStyle w:val="ListParagraph"/>
              <w:tabs>
                <w:tab w:val="left" w:pos="284"/>
              </w:tabs>
              <w:ind w:left="0"/>
              <w:contextualSpacing w:val="0"/>
              <w:jc w:val="both"/>
              <w:rPr>
                <w:rFonts w:ascii="Times New Roman" w:hAnsi="Times New Roman" w:cs="Times New Roman"/>
                <w:sz w:val="26"/>
                <w:szCs w:val="26"/>
              </w:rPr>
            </w:pPr>
            <w:r w:rsidRPr="004E30A9">
              <w:rPr>
                <w:rFonts w:ascii="Times New Roman" w:hAnsi="Times New Roman" w:cs="Times New Roman"/>
                <w:sz w:val="26"/>
                <w:szCs w:val="26"/>
              </w:rPr>
              <w:t>Không phải áp dụng PCA.</w:t>
            </w:r>
          </w:p>
        </w:tc>
      </w:tr>
      <w:tr w:rsidR="004D2F23" w:rsidRPr="00EB6ED7" w14:paraId="5797CE24" w14:textId="77777777" w:rsidTr="002D39C7">
        <w:tc>
          <w:tcPr>
            <w:tcW w:w="770" w:type="pct"/>
            <w:shd w:val="clear" w:color="auto" w:fill="auto"/>
            <w:vAlign w:val="center"/>
          </w:tcPr>
          <w:p w14:paraId="17EBDAE1" w14:textId="77777777" w:rsidR="00FE425C" w:rsidRPr="004E30A9" w:rsidRDefault="00FE425C" w:rsidP="002D39C7">
            <w:pPr>
              <w:pStyle w:val="ListParagraph"/>
              <w:tabs>
                <w:tab w:val="left" w:pos="284"/>
              </w:tabs>
              <w:ind w:left="0"/>
              <w:contextualSpacing w:val="0"/>
              <w:jc w:val="both"/>
              <w:rPr>
                <w:rFonts w:ascii="Times New Roman" w:hAnsi="Times New Roman" w:cs="Times New Roman"/>
                <w:sz w:val="26"/>
                <w:szCs w:val="26"/>
              </w:rPr>
            </w:pPr>
            <w:r w:rsidRPr="004E30A9">
              <w:rPr>
                <w:rFonts w:ascii="Times New Roman" w:hAnsi="Times New Roman" w:cs="Times New Roman"/>
                <w:sz w:val="26"/>
                <w:szCs w:val="26"/>
              </w:rPr>
              <w:t>Loại 1</w:t>
            </w:r>
          </w:p>
        </w:tc>
        <w:tc>
          <w:tcPr>
            <w:tcW w:w="776" w:type="pct"/>
            <w:shd w:val="clear" w:color="auto" w:fill="auto"/>
            <w:vAlign w:val="center"/>
          </w:tcPr>
          <w:p w14:paraId="4E3897E5" w14:textId="77777777" w:rsidR="00FE425C" w:rsidRPr="004E30A9" w:rsidRDefault="00FE425C" w:rsidP="002D39C7">
            <w:pPr>
              <w:pStyle w:val="ListParagraph"/>
              <w:tabs>
                <w:tab w:val="left" w:pos="284"/>
              </w:tabs>
              <w:ind w:left="0"/>
              <w:contextualSpacing w:val="0"/>
              <w:jc w:val="both"/>
              <w:rPr>
                <w:rFonts w:ascii="Times New Roman" w:hAnsi="Times New Roman" w:cs="Times New Roman"/>
                <w:sz w:val="26"/>
                <w:szCs w:val="26"/>
              </w:rPr>
            </w:pPr>
            <w:r w:rsidRPr="004E30A9">
              <w:rPr>
                <w:rFonts w:ascii="Times New Roman" w:hAnsi="Times New Roman" w:cs="Times New Roman"/>
                <w:sz w:val="26"/>
                <w:szCs w:val="26"/>
              </w:rPr>
              <w:t>Từ 4% đến dưới 8% hoặc</w:t>
            </w:r>
          </w:p>
        </w:tc>
        <w:tc>
          <w:tcPr>
            <w:tcW w:w="860" w:type="pct"/>
            <w:shd w:val="clear" w:color="auto" w:fill="auto"/>
            <w:vAlign w:val="center"/>
          </w:tcPr>
          <w:p w14:paraId="6C2801D5" w14:textId="77777777" w:rsidR="00FE425C" w:rsidRPr="004E30A9" w:rsidRDefault="00FE425C" w:rsidP="002D39C7">
            <w:pPr>
              <w:pStyle w:val="ListParagraph"/>
              <w:tabs>
                <w:tab w:val="left" w:pos="284"/>
              </w:tabs>
              <w:ind w:left="0"/>
              <w:contextualSpacing w:val="0"/>
              <w:jc w:val="both"/>
              <w:rPr>
                <w:rFonts w:ascii="Times New Roman" w:hAnsi="Times New Roman" w:cs="Times New Roman"/>
                <w:sz w:val="26"/>
                <w:szCs w:val="26"/>
              </w:rPr>
            </w:pPr>
            <w:r w:rsidRPr="004E30A9">
              <w:rPr>
                <w:rFonts w:ascii="Times New Roman" w:hAnsi="Times New Roman" w:cs="Times New Roman"/>
                <w:sz w:val="26"/>
                <w:szCs w:val="26"/>
              </w:rPr>
              <w:t>Từ 3% đến dưới 6% hoặc</w:t>
            </w:r>
          </w:p>
        </w:tc>
        <w:tc>
          <w:tcPr>
            <w:tcW w:w="861" w:type="pct"/>
            <w:shd w:val="clear" w:color="auto" w:fill="auto"/>
            <w:vAlign w:val="center"/>
          </w:tcPr>
          <w:p w14:paraId="55DB39D2" w14:textId="77777777" w:rsidR="00FE425C" w:rsidRPr="004E30A9" w:rsidRDefault="00FE425C" w:rsidP="002D39C7">
            <w:pPr>
              <w:pStyle w:val="ListParagraph"/>
              <w:tabs>
                <w:tab w:val="left" w:pos="284"/>
              </w:tabs>
              <w:ind w:left="0"/>
              <w:contextualSpacing w:val="0"/>
              <w:jc w:val="both"/>
              <w:rPr>
                <w:rFonts w:ascii="Times New Roman" w:hAnsi="Times New Roman" w:cs="Times New Roman"/>
                <w:sz w:val="26"/>
                <w:szCs w:val="26"/>
              </w:rPr>
            </w:pPr>
            <w:r w:rsidRPr="004E30A9">
              <w:rPr>
                <w:rFonts w:ascii="Times New Roman" w:hAnsi="Times New Roman" w:cs="Times New Roman"/>
                <w:sz w:val="26"/>
                <w:szCs w:val="26"/>
              </w:rPr>
              <w:t>Từ 2,25% đến dưới 4,5%</w:t>
            </w:r>
          </w:p>
        </w:tc>
        <w:tc>
          <w:tcPr>
            <w:tcW w:w="1734" w:type="pct"/>
            <w:shd w:val="clear" w:color="auto" w:fill="auto"/>
            <w:vAlign w:val="center"/>
          </w:tcPr>
          <w:p w14:paraId="5646076D" w14:textId="77777777" w:rsidR="00FE425C" w:rsidRPr="004E30A9" w:rsidRDefault="00FE425C" w:rsidP="002D39C7">
            <w:pPr>
              <w:pStyle w:val="ListParagraph"/>
              <w:tabs>
                <w:tab w:val="left" w:pos="284"/>
              </w:tabs>
              <w:ind w:left="0"/>
              <w:contextualSpacing w:val="0"/>
              <w:jc w:val="both"/>
              <w:rPr>
                <w:rFonts w:ascii="Times New Roman" w:hAnsi="Times New Roman" w:cs="Times New Roman"/>
                <w:sz w:val="26"/>
                <w:szCs w:val="26"/>
              </w:rPr>
            </w:pPr>
            <w:r w:rsidRPr="004E30A9">
              <w:rPr>
                <w:rFonts w:ascii="Times New Roman" w:hAnsi="Times New Roman" w:cs="Times New Roman"/>
                <w:sz w:val="26"/>
                <w:szCs w:val="26"/>
              </w:rPr>
              <w:t>Đệ trình kế hoạch cải thiện hoạt động kinh doanh bao gồm các biện pháp tái cấp vốn và yêu cầu thực hiện kế hoạch đó.</w:t>
            </w:r>
          </w:p>
        </w:tc>
      </w:tr>
      <w:tr w:rsidR="004D2F23" w:rsidRPr="00EB6ED7" w14:paraId="456D5CF2" w14:textId="77777777" w:rsidTr="002D39C7">
        <w:tc>
          <w:tcPr>
            <w:tcW w:w="770" w:type="pct"/>
            <w:shd w:val="clear" w:color="auto" w:fill="auto"/>
            <w:vAlign w:val="center"/>
          </w:tcPr>
          <w:p w14:paraId="75CC2A58" w14:textId="77777777" w:rsidR="00FE425C" w:rsidRPr="004E30A9" w:rsidRDefault="00FE425C" w:rsidP="002D39C7">
            <w:pPr>
              <w:pStyle w:val="ListParagraph"/>
              <w:tabs>
                <w:tab w:val="left" w:pos="284"/>
              </w:tabs>
              <w:ind w:left="0"/>
              <w:contextualSpacing w:val="0"/>
              <w:jc w:val="both"/>
              <w:rPr>
                <w:rFonts w:ascii="Times New Roman" w:hAnsi="Times New Roman" w:cs="Times New Roman"/>
                <w:sz w:val="26"/>
                <w:szCs w:val="26"/>
              </w:rPr>
            </w:pPr>
            <w:r w:rsidRPr="004E30A9">
              <w:rPr>
                <w:rFonts w:ascii="Times New Roman" w:hAnsi="Times New Roman" w:cs="Times New Roman"/>
                <w:sz w:val="26"/>
                <w:szCs w:val="26"/>
              </w:rPr>
              <w:t>Loại 2</w:t>
            </w:r>
          </w:p>
        </w:tc>
        <w:tc>
          <w:tcPr>
            <w:tcW w:w="776" w:type="pct"/>
            <w:shd w:val="clear" w:color="auto" w:fill="auto"/>
            <w:vAlign w:val="center"/>
          </w:tcPr>
          <w:p w14:paraId="3481680F" w14:textId="77777777" w:rsidR="00FE425C" w:rsidRPr="004E30A9" w:rsidRDefault="00FE425C" w:rsidP="002D39C7">
            <w:pPr>
              <w:pStyle w:val="ListParagraph"/>
              <w:tabs>
                <w:tab w:val="left" w:pos="284"/>
              </w:tabs>
              <w:ind w:left="0"/>
              <w:contextualSpacing w:val="0"/>
              <w:jc w:val="both"/>
              <w:rPr>
                <w:rFonts w:ascii="Times New Roman" w:hAnsi="Times New Roman" w:cs="Times New Roman"/>
                <w:sz w:val="26"/>
                <w:szCs w:val="26"/>
                <w:lang w:val="vi-VN"/>
              </w:rPr>
            </w:pPr>
            <w:r w:rsidRPr="004E30A9">
              <w:rPr>
                <w:rFonts w:ascii="Times New Roman" w:hAnsi="Times New Roman" w:cs="Times New Roman"/>
                <w:sz w:val="26"/>
                <w:szCs w:val="26"/>
              </w:rPr>
              <w:t>Từ 2% đến dưới 4% hoặc</w:t>
            </w:r>
          </w:p>
        </w:tc>
        <w:tc>
          <w:tcPr>
            <w:tcW w:w="860" w:type="pct"/>
            <w:shd w:val="clear" w:color="auto" w:fill="auto"/>
            <w:vAlign w:val="center"/>
          </w:tcPr>
          <w:p w14:paraId="6381C51D" w14:textId="77777777" w:rsidR="00FE425C" w:rsidRPr="004E30A9" w:rsidRDefault="00FE425C" w:rsidP="002D39C7">
            <w:pPr>
              <w:pStyle w:val="ListParagraph"/>
              <w:tabs>
                <w:tab w:val="left" w:pos="284"/>
              </w:tabs>
              <w:ind w:left="0"/>
              <w:contextualSpacing w:val="0"/>
              <w:jc w:val="both"/>
              <w:rPr>
                <w:rFonts w:ascii="Times New Roman" w:hAnsi="Times New Roman" w:cs="Times New Roman"/>
                <w:sz w:val="26"/>
                <w:szCs w:val="26"/>
                <w:lang w:val="vi-VN"/>
              </w:rPr>
            </w:pPr>
            <w:r w:rsidRPr="004E30A9">
              <w:rPr>
                <w:rFonts w:ascii="Times New Roman" w:hAnsi="Times New Roman" w:cs="Times New Roman"/>
                <w:sz w:val="26"/>
                <w:szCs w:val="26"/>
              </w:rPr>
              <w:t>Từ 1,5% đến dưới 3% hoặc</w:t>
            </w:r>
          </w:p>
        </w:tc>
        <w:tc>
          <w:tcPr>
            <w:tcW w:w="861" w:type="pct"/>
            <w:shd w:val="clear" w:color="auto" w:fill="auto"/>
            <w:vAlign w:val="center"/>
          </w:tcPr>
          <w:p w14:paraId="0473D62F" w14:textId="77777777" w:rsidR="00FE425C" w:rsidRPr="004E30A9" w:rsidRDefault="00FE425C" w:rsidP="002D39C7">
            <w:pPr>
              <w:pStyle w:val="ListParagraph"/>
              <w:tabs>
                <w:tab w:val="left" w:pos="284"/>
              </w:tabs>
              <w:ind w:left="0"/>
              <w:contextualSpacing w:val="0"/>
              <w:jc w:val="both"/>
              <w:rPr>
                <w:rFonts w:ascii="Times New Roman" w:hAnsi="Times New Roman" w:cs="Times New Roman"/>
                <w:sz w:val="26"/>
                <w:szCs w:val="26"/>
              </w:rPr>
            </w:pPr>
            <w:r w:rsidRPr="004E30A9">
              <w:rPr>
                <w:rFonts w:ascii="Times New Roman" w:hAnsi="Times New Roman" w:cs="Times New Roman"/>
                <w:sz w:val="26"/>
                <w:szCs w:val="26"/>
              </w:rPr>
              <w:t>Từ 1,13% đến dưới 2,25%</w:t>
            </w:r>
          </w:p>
        </w:tc>
        <w:tc>
          <w:tcPr>
            <w:tcW w:w="1734" w:type="pct"/>
            <w:shd w:val="clear" w:color="auto" w:fill="auto"/>
            <w:vAlign w:val="center"/>
          </w:tcPr>
          <w:p w14:paraId="6AEC8B15" w14:textId="77777777" w:rsidR="00FE425C" w:rsidRPr="004E30A9" w:rsidRDefault="00FE425C" w:rsidP="002D39C7">
            <w:pPr>
              <w:pStyle w:val="ListParagraph"/>
              <w:tabs>
                <w:tab w:val="left" w:pos="284"/>
              </w:tabs>
              <w:ind w:left="0"/>
              <w:contextualSpacing w:val="0"/>
              <w:jc w:val="both"/>
              <w:rPr>
                <w:rFonts w:ascii="Times New Roman" w:hAnsi="Times New Roman" w:cs="Times New Roman"/>
                <w:sz w:val="26"/>
                <w:szCs w:val="26"/>
              </w:rPr>
            </w:pPr>
            <w:r w:rsidRPr="004E30A9">
              <w:rPr>
                <w:rFonts w:ascii="Times New Roman" w:hAnsi="Times New Roman" w:cs="Times New Roman"/>
                <w:sz w:val="26"/>
                <w:szCs w:val="26"/>
              </w:rPr>
              <w:t>Trình và thực hiện kế hoạch tái cấp vốn;</w:t>
            </w:r>
          </w:p>
          <w:p w14:paraId="0FA0A5CF" w14:textId="77777777" w:rsidR="00FE425C" w:rsidRPr="004E30A9" w:rsidRDefault="00FE425C" w:rsidP="002D39C7">
            <w:pPr>
              <w:pStyle w:val="ListParagraph"/>
              <w:tabs>
                <w:tab w:val="left" w:pos="284"/>
              </w:tabs>
              <w:ind w:left="0"/>
              <w:contextualSpacing w:val="0"/>
              <w:jc w:val="both"/>
              <w:rPr>
                <w:rFonts w:ascii="Times New Roman" w:hAnsi="Times New Roman" w:cs="Times New Roman"/>
                <w:sz w:val="26"/>
                <w:szCs w:val="26"/>
              </w:rPr>
            </w:pPr>
            <w:r w:rsidRPr="004E30A9">
              <w:rPr>
                <w:rFonts w:ascii="Times New Roman" w:hAnsi="Times New Roman" w:cs="Times New Roman"/>
                <w:sz w:val="26"/>
                <w:szCs w:val="26"/>
              </w:rPr>
              <w:t>Cấm hoặc hạn chế chia cổ tức/trả thưởng;</w:t>
            </w:r>
          </w:p>
          <w:p w14:paraId="2105AF5F" w14:textId="77777777" w:rsidR="00FE425C" w:rsidRPr="004E30A9" w:rsidRDefault="00FE425C" w:rsidP="002D39C7">
            <w:pPr>
              <w:pStyle w:val="ListParagraph"/>
              <w:tabs>
                <w:tab w:val="left" w:pos="284"/>
              </w:tabs>
              <w:ind w:left="0"/>
              <w:contextualSpacing w:val="0"/>
              <w:jc w:val="both"/>
              <w:rPr>
                <w:rFonts w:ascii="Times New Roman" w:hAnsi="Times New Roman" w:cs="Times New Roman"/>
                <w:sz w:val="26"/>
                <w:szCs w:val="26"/>
              </w:rPr>
            </w:pPr>
            <w:r w:rsidRPr="004E30A9">
              <w:rPr>
                <w:rFonts w:ascii="Times New Roman" w:hAnsi="Times New Roman" w:cs="Times New Roman"/>
                <w:sz w:val="26"/>
                <w:szCs w:val="26"/>
              </w:rPr>
              <w:t>Hạn chế gia tăng tài sản hoặc yêu cầu giảm tài sản;</w:t>
            </w:r>
          </w:p>
          <w:p w14:paraId="722599B0" w14:textId="77777777" w:rsidR="00FE425C" w:rsidRPr="004E30A9" w:rsidRDefault="00FE425C" w:rsidP="002D39C7">
            <w:pPr>
              <w:pStyle w:val="ListParagraph"/>
              <w:tabs>
                <w:tab w:val="left" w:pos="284"/>
              </w:tabs>
              <w:ind w:left="0"/>
              <w:contextualSpacing w:val="0"/>
              <w:jc w:val="both"/>
              <w:rPr>
                <w:rFonts w:ascii="Times New Roman" w:hAnsi="Times New Roman" w:cs="Times New Roman"/>
                <w:sz w:val="26"/>
                <w:szCs w:val="26"/>
              </w:rPr>
            </w:pPr>
            <w:r w:rsidRPr="004E30A9">
              <w:rPr>
                <w:rFonts w:ascii="Times New Roman" w:hAnsi="Times New Roman" w:cs="Times New Roman"/>
                <w:sz w:val="26"/>
                <w:szCs w:val="26"/>
              </w:rPr>
              <w:t>Cấm/hạn chế chấp nhận tiền gửi chi phí cao;</w:t>
            </w:r>
          </w:p>
          <w:p w14:paraId="2785EE66" w14:textId="77777777" w:rsidR="00FE425C" w:rsidRPr="004E30A9" w:rsidRDefault="00FE425C" w:rsidP="002D39C7">
            <w:pPr>
              <w:pStyle w:val="ListParagraph"/>
              <w:tabs>
                <w:tab w:val="left" w:pos="284"/>
              </w:tabs>
              <w:ind w:left="0"/>
              <w:contextualSpacing w:val="0"/>
              <w:jc w:val="both"/>
              <w:rPr>
                <w:rFonts w:ascii="Times New Roman" w:hAnsi="Times New Roman" w:cs="Times New Roman"/>
                <w:sz w:val="26"/>
                <w:szCs w:val="26"/>
              </w:rPr>
            </w:pPr>
            <w:r w:rsidRPr="004E30A9">
              <w:rPr>
                <w:rFonts w:ascii="Times New Roman" w:hAnsi="Times New Roman" w:cs="Times New Roman"/>
                <w:sz w:val="26"/>
                <w:szCs w:val="26"/>
              </w:rPr>
              <w:t>Thu hẹp một số hoạt động nhất định;</w:t>
            </w:r>
          </w:p>
          <w:p w14:paraId="58178377" w14:textId="77777777" w:rsidR="00FE425C" w:rsidRPr="004E30A9" w:rsidRDefault="00FE425C" w:rsidP="002D39C7">
            <w:pPr>
              <w:pStyle w:val="ListParagraph"/>
              <w:tabs>
                <w:tab w:val="left" w:pos="284"/>
              </w:tabs>
              <w:ind w:left="0"/>
              <w:contextualSpacing w:val="0"/>
              <w:jc w:val="both"/>
              <w:rPr>
                <w:rFonts w:ascii="Times New Roman" w:hAnsi="Times New Roman" w:cs="Times New Roman"/>
                <w:sz w:val="26"/>
                <w:szCs w:val="26"/>
              </w:rPr>
            </w:pPr>
            <w:r w:rsidRPr="004E30A9">
              <w:rPr>
                <w:rFonts w:ascii="Times New Roman" w:hAnsi="Times New Roman" w:cs="Times New Roman"/>
                <w:sz w:val="26"/>
                <w:szCs w:val="26"/>
              </w:rPr>
              <w:t>Đóng cửa hoạt động (trừ trụ sở chính);</w:t>
            </w:r>
          </w:p>
          <w:p w14:paraId="191B3FDA" w14:textId="77777777" w:rsidR="00FE425C" w:rsidRPr="004E30A9" w:rsidRDefault="00FE425C" w:rsidP="002D39C7">
            <w:pPr>
              <w:pStyle w:val="ListParagraph"/>
              <w:tabs>
                <w:tab w:val="left" w:pos="284"/>
              </w:tabs>
              <w:ind w:left="0"/>
              <w:contextualSpacing w:val="0"/>
              <w:jc w:val="both"/>
              <w:rPr>
                <w:rFonts w:ascii="Times New Roman" w:hAnsi="Times New Roman" w:cs="Times New Roman"/>
                <w:sz w:val="26"/>
                <w:szCs w:val="26"/>
              </w:rPr>
            </w:pPr>
            <w:r w:rsidRPr="004E30A9">
              <w:rPr>
                <w:rFonts w:ascii="Times New Roman" w:hAnsi="Times New Roman" w:cs="Times New Roman"/>
                <w:sz w:val="26"/>
                <w:szCs w:val="26"/>
              </w:rPr>
              <w:lastRenderedPageBreak/>
              <w:t>Các biện pháp khác.</w:t>
            </w:r>
          </w:p>
        </w:tc>
      </w:tr>
      <w:tr w:rsidR="004D2F23" w:rsidRPr="00EB6ED7" w14:paraId="68BA4A22" w14:textId="77777777" w:rsidTr="002D39C7">
        <w:tc>
          <w:tcPr>
            <w:tcW w:w="770" w:type="pct"/>
            <w:shd w:val="clear" w:color="auto" w:fill="auto"/>
            <w:vAlign w:val="center"/>
          </w:tcPr>
          <w:p w14:paraId="0F938616" w14:textId="77777777" w:rsidR="00FE425C" w:rsidRPr="004E30A9" w:rsidRDefault="00FE425C" w:rsidP="002D39C7">
            <w:pPr>
              <w:pStyle w:val="ListParagraph"/>
              <w:tabs>
                <w:tab w:val="left" w:pos="284"/>
              </w:tabs>
              <w:ind w:left="0"/>
              <w:contextualSpacing w:val="0"/>
              <w:jc w:val="both"/>
              <w:rPr>
                <w:rFonts w:ascii="Times New Roman" w:hAnsi="Times New Roman" w:cs="Times New Roman"/>
                <w:sz w:val="26"/>
                <w:szCs w:val="26"/>
              </w:rPr>
            </w:pPr>
            <w:r w:rsidRPr="004E30A9">
              <w:rPr>
                <w:rFonts w:ascii="Times New Roman" w:hAnsi="Times New Roman" w:cs="Times New Roman"/>
                <w:sz w:val="26"/>
                <w:szCs w:val="26"/>
              </w:rPr>
              <w:lastRenderedPageBreak/>
              <w:t>Loại 2.2</w:t>
            </w:r>
          </w:p>
        </w:tc>
        <w:tc>
          <w:tcPr>
            <w:tcW w:w="776" w:type="pct"/>
            <w:shd w:val="clear" w:color="auto" w:fill="auto"/>
            <w:vAlign w:val="center"/>
          </w:tcPr>
          <w:p w14:paraId="298BA920" w14:textId="77777777" w:rsidR="00FE425C" w:rsidRPr="004E30A9" w:rsidRDefault="00FE425C" w:rsidP="002D39C7">
            <w:pPr>
              <w:pStyle w:val="ListParagraph"/>
              <w:tabs>
                <w:tab w:val="left" w:pos="284"/>
              </w:tabs>
              <w:ind w:left="0"/>
              <w:contextualSpacing w:val="0"/>
              <w:jc w:val="both"/>
              <w:rPr>
                <w:rFonts w:ascii="Times New Roman" w:hAnsi="Times New Roman" w:cs="Times New Roman"/>
                <w:sz w:val="26"/>
                <w:szCs w:val="26"/>
                <w:lang w:val="vi-VN"/>
              </w:rPr>
            </w:pPr>
            <w:r w:rsidRPr="004E30A9">
              <w:rPr>
                <w:rFonts w:ascii="Times New Roman" w:hAnsi="Times New Roman" w:cs="Times New Roman"/>
                <w:sz w:val="26"/>
                <w:szCs w:val="26"/>
              </w:rPr>
              <w:t>Từ 0 đến dưới 2% hoặc</w:t>
            </w:r>
          </w:p>
        </w:tc>
        <w:tc>
          <w:tcPr>
            <w:tcW w:w="860" w:type="pct"/>
            <w:shd w:val="clear" w:color="auto" w:fill="auto"/>
            <w:vAlign w:val="center"/>
          </w:tcPr>
          <w:p w14:paraId="6DE3EDC4" w14:textId="77777777" w:rsidR="00FE425C" w:rsidRPr="004E30A9" w:rsidRDefault="00FE425C" w:rsidP="002D39C7">
            <w:pPr>
              <w:pStyle w:val="ListParagraph"/>
              <w:tabs>
                <w:tab w:val="left" w:pos="284"/>
              </w:tabs>
              <w:ind w:left="0"/>
              <w:contextualSpacing w:val="0"/>
              <w:jc w:val="both"/>
              <w:rPr>
                <w:rFonts w:ascii="Times New Roman" w:hAnsi="Times New Roman" w:cs="Times New Roman"/>
                <w:sz w:val="26"/>
                <w:szCs w:val="26"/>
                <w:lang w:val="vi-VN"/>
              </w:rPr>
            </w:pPr>
            <w:r w:rsidRPr="004E30A9">
              <w:rPr>
                <w:rFonts w:ascii="Times New Roman" w:hAnsi="Times New Roman" w:cs="Times New Roman"/>
                <w:sz w:val="26"/>
                <w:szCs w:val="26"/>
              </w:rPr>
              <w:t>Từ 0% đến dưới 1,5% hoặc</w:t>
            </w:r>
          </w:p>
        </w:tc>
        <w:tc>
          <w:tcPr>
            <w:tcW w:w="861" w:type="pct"/>
            <w:shd w:val="clear" w:color="auto" w:fill="auto"/>
            <w:vAlign w:val="center"/>
          </w:tcPr>
          <w:p w14:paraId="5C255A6F" w14:textId="77777777" w:rsidR="00FE425C" w:rsidRPr="004E30A9" w:rsidRDefault="00FE425C" w:rsidP="002D39C7">
            <w:pPr>
              <w:pStyle w:val="ListParagraph"/>
              <w:tabs>
                <w:tab w:val="left" w:pos="284"/>
              </w:tabs>
              <w:ind w:left="0"/>
              <w:contextualSpacing w:val="0"/>
              <w:jc w:val="both"/>
              <w:rPr>
                <w:rFonts w:ascii="Times New Roman" w:hAnsi="Times New Roman" w:cs="Times New Roman"/>
                <w:sz w:val="26"/>
                <w:szCs w:val="26"/>
              </w:rPr>
            </w:pPr>
            <w:r w:rsidRPr="004E30A9">
              <w:rPr>
                <w:rFonts w:ascii="Times New Roman" w:hAnsi="Times New Roman" w:cs="Times New Roman"/>
                <w:sz w:val="26"/>
                <w:szCs w:val="26"/>
              </w:rPr>
              <w:t>Từ 0% đến dưới 1,13%</w:t>
            </w:r>
          </w:p>
        </w:tc>
        <w:tc>
          <w:tcPr>
            <w:tcW w:w="1734" w:type="pct"/>
            <w:shd w:val="clear" w:color="auto" w:fill="auto"/>
            <w:vAlign w:val="center"/>
          </w:tcPr>
          <w:p w14:paraId="200B3343" w14:textId="77777777" w:rsidR="00FE425C" w:rsidRPr="004E30A9" w:rsidRDefault="00FE425C" w:rsidP="002D39C7">
            <w:pPr>
              <w:pStyle w:val="ListParagraph"/>
              <w:tabs>
                <w:tab w:val="left" w:pos="284"/>
              </w:tabs>
              <w:ind w:left="0"/>
              <w:contextualSpacing w:val="0"/>
              <w:jc w:val="both"/>
              <w:rPr>
                <w:rFonts w:ascii="Times New Roman" w:hAnsi="Times New Roman" w:cs="Times New Roman"/>
                <w:sz w:val="26"/>
                <w:szCs w:val="26"/>
              </w:rPr>
            </w:pPr>
            <w:r w:rsidRPr="004E30A9">
              <w:rPr>
                <w:rFonts w:ascii="Times New Roman" w:hAnsi="Times New Roman" w:cs="Times New Roman"/>
                <w:sz w:val="26"/>
                <w:szCs w:val="26"/>
              </w:rPr>
              <w:t>Yêu cầu thực hiện các biện pháp: tăng cường vốn của ngân hàng, thu hẹp quy mô hoạt động, sáp nhập ngân hàng hoặc rút giấy phép.</w:t>
            </w:r>
          </w:p>
        </w:tc>
      </w:tr>
      <w:tr w:rsidR="004D2F23" w:rsidRPr="00EB6ED7" w14:paraId="2D43DBA0" w14:textId="77777777" w:rsidTr="002D39C7">
        <w:tc>
          <w:tcPr>
            <w:tcW w:w="770" w:type="pct"/>
            <w:shd w:val="clear" w:color="auto" w:fill="auto"/>
            <w:vAlign w:val="center"/>
          </w:tcPr>
          <w:p w14:paraId="4DBAEE6A" w14:textId="77777777" w:rsidR="00FE425C" w:rsidRPr="004E30A9" w:rsidRDefault="00FE425C" w:rsidP="002D39C7">
            <w:pPr>
              <w:pStyle w:val="ListParagraph"/>
              <w:tabs>
                <w:tab w:val="left" w:pos="284"/>
              </w:tabs>
              <w:ind w:left="0"/>
              <w:contextualSpacing w:val="0"/>
              <w:jc w:val="both"/>
              <w:rPr>
                <w:rFonts w:ascii="Times New Roman" w:hAnsi="Times New Roman" w:cs="Times New Roman"/>
                <w:sz w:val="26"/>
                <w:szCs w:val="26"/>
              </w:rPr>
            </w:pPr>
            <w:r w:rsidRPr="004E30A9">
              <w:rPr>
                <w:rFonts w:ascii="Times New Roman" w:hAnsi="Times New Roman" w:cs="Times New Roman"/>
                <w:sz w:val="26"/>
                <w:szCs w:val="26"/>
              </w:rPr>
              <w:t>Loại 3</w:t>
            </w:r>
          </w:p>
        </w:tc>
        <w:tc>
          <w:tcPr>
            <w:tcW w:w="776" w:type="pct"/>
            <w:shd w:val="clear" w:color="auto" w:fill="auto"/>
            <w:vAlign w:val="center"/>
          </w:tcPr>
          <w:p w14:paraId="17594036" w14:textId="77777777" w:rsidR="00FE425C" w:rsidRPr="004E30A9" w:rsidRDefault="00FE425C" w:rsidP="002D39C7">
            <w:pPr>
              <w:pStyle w:val="ListParagraph"/>
              <w:tabs>
                <w:tab w:val="left" w:pos="284"/>
              </w:tabs>
              <w:ind w:left="0"/>
              <w:contextualSpacing w:val="0"/>
              <w:jc w:val="both"/>
              <w:rPr>
                <w:rFonts w:ascii="Times New Roman" w:hAnsi="Times New Roman" w:cs="Times New Roman"/>
                <w:sz w:val="26"/>
                <w:szCs w:val="26"/>
              </w:rPr>
            </w:pPr>
            <w:r w:rsidRPr="004E30A9">
              <w:rPr>
                <w:rFonts w:ascii="Times New Roman" w:hAnsi="Times New Roman" w:cs="Times New Roman"/>
                <w:sz w:val="26"/>
                <w:szCs w:val="26"/>
              </w:rPr>
              <w:t>Dưới 0</w:t>
            </w:r>
          </w:p>
        </w:tc>
        <w:tc>
          <w:tcPr>
            <w:tcW w:w="860" w:type="pct"/>
            <w:shd w:val="clear" w:color="auto" w:fill="auto"/>
            <w:vAlign w:val="center"/>
          </w:tcPr>
          <w:p w14:paraId="56011A14" w14:textId="77777777" w:rsidR="00FE425C" w:rsidRPr="004E30A9" w:rsidRDefault="00FE425C" w:rsidP="002D39C7">
            <w:pPr>
              <w:pStyle w:val="ListParagraph"/>
              <w:tabs>
                <w:tab w:val="left" w:pos="284"/>
              </w:tabs>
              <w:ind w:left="0"/>
              <w:contextualSpacing w:val="0"/>
              <w:jc w:val="both"/>
              <w:rPr>
                <w:rFonts w:ascii="Times New Roman" w:hAnsi="Times New Roman" w:cs="Times New Roman"/>
                <w:sz w:val="26"/>
                <w:szCs w:val="26"/>
                <w:lang w:val="vi-VN"/>
              </w:rPr>
            </w:pPr>
            <w:r w:rsidRPr="004E30A9">
              <w:rPr>
                <w:rFonts w:ascii="Times New Roman" w:hAnsi="Times New Roman" w:cs="Times New Roman"/>
                <w:sz w:val="26"/>
                <w:szCs w:val="26"/>
              </w:rPr>
              <w:t>Dưới 0</w:t>
            </w:r>
          </w:p>
        </w:tc>
        <w:tc>
          <w:tcPr>
            <w:tcW w:w="861" w:type="pct"/>
            <w:shd w:val="clear" w:color="auto" w:fill="auto"/>
            <w:vAlign w:val="center"/>
          </w:tcPr>
          <w:p w14:paraId="03524F88" w14:textId="77777777" w:rsidR="00FE425C" w:rsidRPr="004E30A9" w:rsidRDefault="00FE425C" w:rsidP="002D39C7">
            <w:pPr>
              <w:pStyle w:val="ListParagraph"/>
              <w:tabs>
                <w:tab w:val="left" w:pos="284"/>
              </w:tabs>
              <w:ind w:left="0"/>
              <w:contextualSpacing w:val="0"/>
              <w:jc w:val="both"/>
              <w:rPr>
                <w:rFonts w:ascii="Times New Roman" w:hAnsi="Times New Roman" w:cs="Times New Roman"/>
                <w:sz w:val="26"/>
                <w:szCs w:val="26"/>
                <w:lang w:val="vi-VN"/>
              </w:rPr>
            </w:pPr>
            <w:r w:rsidRPr="004E30A9">
              <w:rPr>
                <w:rFonts w:ascii="Times New Roman" w:hAnsi="Times New Roman" w:cs="Times New Roman"/>
                <w:sz w:val="26"/>
                <w:szCs w:val="26"/>
              </w:rPr>
              <w:t>Dưới 0</w:t>
            </w:r>
          </w:p>
        </w:tc>
        <w:tc>
          <w:tcPr>
            <w:tcW w:w="1734" w:type="pct"/>
            <w:shd w:val="clear" w:color="auto" w:fill="auto"/>
            <w:vAlign w:val="center"/>
          </w:tcPr>
          <w:p w14:paraId="07C1B4DB" w14:textId="77777777" w:rsidR="00FE425C" w:rsidRPr="004E30A9" w:rsidRDefault="00FE425C" w:rsidP="002D39C7">
            <w:pPr>
              <w:pStyle w:val="ListParagraph"/>
              <w:tabs>
                <w:tab w:val="left" w:pos="284"/>
              </w:tabs>
              <w:ind w:left="0"/>
              <w:contextualSpacing w:val="0"/>
              <w:jc w:val="both"/>
              <w:rPr>
                <w:rFonts w:ascii="Times New Roman" w:hAnsi="Times New Roman" w:cs="Times New Roman"/>
                <w:sz w:val="26"/>
                <w:szCs w:val="26"/>
                <w:lang w:val="vi-VN"/>
              </w:rPr>
            </w:pPr>
            <w:r w:rsidRPr="004E30A9">
              <w:rPr>
                <w:rFonts w:ascii="Times New Roman" w:hAnsi="Times New Roman" w:cs="Times New Roman"/>
                <w:sz w:val="26"/>
                <w:szCs w:val="26"/>
              </w:rPr>
              <w:t>Đình chỉ toàn bộ hoặc một phần hoạt động kinh doanh của ngân hàng.</w:t>
            </w:r>
          </w:p>
        </w:tc>
      </w:tr>
    </w:tbl>
    <w:p w14:paraId="1F4D5E16" w14:textId="77777777" w:rsidR="00FE425C" w:rsidRPr="004E30A9" w:rsidRDefault="00FE425C" w:rsidP="00FE425C">
      <w:pPr>
        <w:pStyle w:val="ListParagraph"/>
        <w:tabs>
          <w:tab w:val="left" w:pos="284"/>
        </w:tabs>
        <w:spacing w:after="120" w:line="276" w:lineRule="auto"/>
        <w:ind w:left="0"/>
        <w:contextualSpacing w:val="0"/>
        <w:jc w:val="center"/>
        <w:rPr>
          <w:rFonts w:ascii="Times New Roman" w:hAnsi="Times New Roman" w:cs="Times New Roman"/>
          <w:i/>
          <w:iCs/>
          <w:sz w:val="26"/>
          <w:szCs w:val="26"/>
        </w:rPr>
      </w:pPr>
      <w:r w:rsidRPr="004E30A9">
        <w:rPr>
          <w:rFonts w:ascii="Times New Roman" w:hAnsi="Times New Roman" w:cs="Times New Roman"/>
          <w:i/>
          <w:iCs/>
          <w:sz w:val="26"/>
          <w:szCs w:val="26"/>
        </w:rPr>
        <w:t>Nguồn: Nghiên cứu của FSI về thực thi chính sách số 6, Cơ chế can thiệp sớm ngân hàng yếu kém, tháng 4/2018</w:t>
      </w:r>
    </w:p>
    <w:p w14:paraId="761F3BD5" w14:textId="77777777" w:rsidR="00FE425C" w:rsidRPr="004E30A9" w:rsidRDefault="00FE425C" w:rsidP="00FE425C">
      <w:pPr>
        <w:pStyle w:val="ListParagraph"/>
        <w:tabs>
          <w:tab w:val="left" w:pos="284"/>
        </w:tabs>
        <w:spacing w:before="120" w:after="120" w:line="360" w:lineRule="exact"/>
        <w:ind w:left="0" w:firstLine="709"/>
        <w:contextualSpacing w:val="0"/>
        <w:jc w:val="both"/>
        <w:rPr>
          <w:rFonts w:ascii="Times New Roman" w:hAnsi="Times New Roman" w:cs="Times New Roman"/>
          <w:sz w:val="26"/>
          <w:szCs w:val="26"/>
        </w:rPr>
      </w:pPr>
      <w:r w:rsidRPr="004E30A9">
        <w:rPr>
          <w:rFonts w:ascii="Times New Roman" w:hAnsi="Times New Roman" w:cs="Times New Roman"/>
          <w:sz w:val="26"/>
          <w:szCs w:val="26"/>
        </w:rPr>
        <w:t>Trong khi đó, các ngân hàng nội địa phải duy trì tỷ lệ an toàn vốn ở mức nhất định nhưng thấp hơn so với tiêu chuẩn quốc tế kể trên.</w:t>
      </w:r>
    </w:p>
    <w:p w14:paraId="274747AA" w14:textId="77777777" w:rsidR="00FE425C" w:rsidRPr="004E30A9" w:rsidRDefault="00FE425C" w:rsidP="00FE425C">
      <w:pPr>
        <w:pStyle w:val="ListParagraph"/>
        <w:tabs>
          <w:tab w:val="left" w:pos="284"/>
        </w:tabs>
        <w:spacing w:before="120" w:after="120" w:line="360" w:lineRule="exact"/>
        <w:ind w:left="0" w:firstLine="709"/>
        <w:contextualSpacing w:val="0"/>
        <w:jc w:val="both"/>
        <w:rPr>
          <w:rFonts w:ascii="Times New Roman" w:hAnsi="Times New Roman" w:cs="Times New Roman"/>
          <w:strike/>
          <w:sz w:val="26"/>
          <w:szCs w:val="26"/>
        </w:rPr>
      </w:pPr>
      <w:r w:rsidRPr="004E30A9">
        <w:rPr>
          <w:rFonts w:ascii="Times New Roman" w:hAnsi="Times New Roman" w:cs="Times New Roman"/>
          <w:sz w:val="26"/>
          <w:szCs w:val="26"/>
        </w:rPr>
        <w:t>Bên cạnh các thẩm quyền nêu trên, cơ quan giám sát có quyền cách chức ban quản lý ngân hàng và hội đồng quản trị thông qua sắc lệnh của Thủ tướng.</w:t>
      </w:r>
    </w:p>
    <w:p w14:paraId="74950891" w14:textId="77777777" w:rsidR="00FE425C" w:rsidRPr="004E30A9" w:rsidRDefault="00FE425C" w:rsidP="00FE425C">
      <w:pPr>
        <w:pStyle w:val="Heading3"/>
        <w:spacing w:before="120" w:after="120" w:line="360" w:lineRule="exact"/>
        <w:ind w:firstLine="709"/>
        <w:jc w:val="both"/>
        <w:rPr>
          <w:rFonts w:ascii="Times New Roman" w:hAnsi="Times New Roman"/>
          <w:b w:val="0"/>
          <w:bCs w:val="0"/>
          <w:i/>
          <w:iCs/>
          <w:lang w:val="vi-VN"/>
        </w:rPr>
      </w:pPr>
      <w:bookmarkStart w:id="7" w:name="_Toc181274308"/>
      <w:bookmarkStart w:id="8" w:name="_Toc184511524"/>
      <w:r w:rsidRPr="004E30A9">
        <w:rPr>
          <w:rFonts w:ascii="Times New Roman" w:hAnsi="Times New Roman"/>
          <w:b w:val="0"/>
          <w:bCs w:val="0"/>
          <w:i/>
          <w:iCs/>
        </w:rPr>
        <w:t>c</w:t>
      </w:r>
      <w:r w:rsidRPr="004E30A9">
        <w:rPr>
          <w:rFonts w:ascii="Times New Roman" w:hAnsi="Times New Roman"/>
          <w:b w:val="0"/>
          <w:bCs w:val="0"/>
          <w:i/>
          <w:iCs/>
          <w:lang w:val="vi-VN"/>
        </w:rPr>
        <w:t>. Thời gian thực hiện</w:t>
      </w:r>
      <w:bookmarkEnd w:id="7"/>
      <w:bookmarkEnd w:id="8"/>
    </w:p>
    <w:p w14:paraId="14768B47" w14:textId="77777777" w:rsidR="00FE425C" w:rsidRPr="004E30A9" w:rsidRDefault="00FE425C" w:rsidP="00FE425C">
      <w:pPr>
        <w:pStyle w:val="ListParagraph"/>
        <w:tabs>
          <w:tab w:val="left" w:pos="284"/>
        </w:tabs>
        <w:spacing w:before="120" w:after="120" w:line="360" w:lineRule="exact"/>
        <w:ind w:left="0" w:firstLine="709"/>
        <w:contextualSpacing w:val="0"/>
        <w:jc w:val="both"/>
        <w:rPr>
          <w:rFonts w:ascii="Times New Roman" w:hAnsi="Times New Roman" w:cs="Times New Roman"/>
          <w:sz w:val="26"/>
          <w:szCs w:val="26"/>
        </w:rPr>
      </w:pPr>
      <w:r w:rsidRPr="004E30A9">
        <w:rPr>
          <w:rFonts w:ascii="Times New Roman" w:hAnsi="Times New Roman" w:cs="Times New Roman"/>
          <w:sz w:val="26"/>
          <w:szCs w:val="26"/>
        </w:rPr>
        <w:t>Thời gian để thực hiện PCA là 01 năm</w:t>
      </w:r>
      <w:r w:rsidRPr="004E30A9">
        <w:rPr>
          <w:rFonts w:ascii="Times New Roman" w:hAnsi="Times New Roman" w:cs="Times New Roman"/>
          <w:sz w:val="26"/>
          <w:szCs w:val="26"/>
          <w:vertAlign w:val="superscript"/>
        </w:rPr>
        <w:footnoteReference w:id="9"/>
      </w:r>
      <w:r w:rsidRPr="004E30A9">
        <w:rPr>
          <w:rFonts w:ascii="Times New Roman" w:hAnsi="Times New Roman" w:cs="Times New Roman"/>
          <w:sz w:val="26"/>
          <w:szCs w:val="26"/>
        </w:rPr>
        <w:t>.</w:t>
      </w:r>
    </w:p>
    <w:p w14:paraId="22C9EC26" w14:textId="5FF90848" w:rsidR="00FE425C" w:rsidRPr="004E30A9" w:rsidRDefault="00FE425C" w:rsidP="00FE425C">
      <w:pPr>
        <w:pStyle w:val="Heading2"/>
        <w:spacing w:before="120" w:after="120" w:line="360" w:lineRule="exact"/>
        <w:ind w:firstLine="709"/>
        <w:jc w:val="both"/>
        <w:rPr>
          <w:rFonts w:ascii="Times New Roman" w:hAnsi="Times New Roman"/>
          <w:b/>
          <w:bCs/>
          <w:i w:val="0"/>
          <w:iCs w:val="0"/>
          <w:color w:val="auto"/>
        </w:rPr>
      </w:pPr>
      <w:bookmarkStart w:id="9" w:name="_Toc181274310"/>
      <w:bookmarkStart w:id="10" w:name="_Toc184511526"/>
      <w:r w:rsidRPr="004E30A9">
        <w:rPr>
          <w:rFonts w:ascii="Times New Roman" w:hAnsi="Times New Roman"/>
          <w:b/>
          <w:bCs/>
          <w:i w:val="0"/>
          <w:color w:val="auto"/>
          <w:lang w:val="en-US"/>
        </w:rPr>
        <w:t>1.3.</w:t>
      </w:r>
      <w:r w:rsidRPr="004E30A9">
        <w:rPr>
          <w:rFonts w:ascii="Times New Roman" w:hAnsi="Times New Roman"/>
          <w:b/>
          <w:bCs/>
          <w:i w:val="0"/>
          <w:color w:val="auto"/>
        </w:rPr>
        <w:t xml:space="preserve"> Giai đoạn xử lý </w:t>
      </w:r>
      <w:bookmarkEnd w:id="9"/>
      <w:bookmarkEnd w:id="10"/>
    </w:p>
    <w:p w14:paraId="377540FA" w14:textId="77777777" w:rsidR="00FE425C" w:rsidRPr="004E30A9" w:rsidRDefault="00FE425C" w:rsidP="00FE425C">
      <w:pPr>
        <w:pStyle w:val="Heading3"/>
        <w:spacing w:before="120" w:after="120" w:line="360" w:lineRule="exact"/>
        <w:ind w:firstLine="709"/>
        <w:jc w:val="both"/>
        <w:rPr>
          <w:rFonts w:ascii="Times New Roman" w:hAnsi="Times New Roman"/>
          <w:b w:val="0"/>
          <w:bCs w:val="0"/>
          <w:i/>
          <w:iCs/>
          <w:lang w:val="vi-VN"/>
        </w:rPr>
      </w:pPr>
      <w:bookmarkStart w:id="11" w:name="_Toc181274311"/>
      <w:bookmarkStart w:id="12" w:name="_Toc184511527"/>
      <w:r w:rsidRPr="004E30A9">
        <w:rPr>
          <w:rFonts w:ascii="Times New Roman" w:hAnsi="Times New Roman"/>
          <w:b w:val="0"/>
          <w:bCs w:val="0"/>
          <w:i/>
          <w:iCs/>
        </w:rPr>
        <w:t>a</w:t>
      </w:r>
      <w:r w:rsidRPr="004E30A9">
        <w:rPr>
          <w:rFonts w:ascii="Times New Roman" w:hAnsi="Times New Roman"/>
          <w:b w:val="0"/>
          <w:bCs w:val="0"/>
          <w:i/>
          <w:iCs/>
          <w:lang w:val="vi-VN"/>
        </w:rPr>
        <w:t>. Thẩm quyền quyết định xử lý</w:t>
      </w:r>
      <w:bookmarkEnd w:id="11"/>
      <w:bookmarkEnd w:id="12"/>
    </w:p>
    <w:p w14:paraId="284A8220" w14:textId="77777777" w:rsidR="00FE425C" w:rsidRPr="004E30A9" w:rsidRDefault="00FE425C" w:rsidP="00FE425C">
      <w:pPr>
        <w:pStyle w:val="ListParagraph"/>
        <w:tabs>
          <w:tab w:val="left" w:pos="284"/>
        </w:tabs>
        <w:spacing w:before="120" w:after="120" w:line="360" w:lineRule="exact"/>
        <w:ind w:left="0" w:firstLine="709"/>
        <w:contextualSpacing w:val="0"/>
        <w:jc w:val="both"/>
        <w:rPr>
          <w:rFonts w:ascii="Times New Roman" w:hAnsi="Times New Roman" w:cs="Times New Roman"/>
          <w:sz w:val="26"/>
          <w:szCs w:val="26"/>
        </w:rPr>
      </w:pPr>
      <w:r w:rsidRPr="004E30A9">
        <w:rPr>
          <w:rFonts w:ascii="Times New Roman" w:hAnsi="Times New Roman" w:cs="Times New Roman"/>
          <w:sz w:val="26"/>
          <w:szCs w:val="26"/>
        </w:rPr>
        <w:t xml:space="preserve">Nhật Bản có ba cơ chế xử lý TCTC yếu kém, bao gồm “cơ chế BHTG có hạn mức”, “biện pháp ngăn ngừa khủng hoảng tài chính” và “biện pháp xử lý theo trật tự”. </w:t>
      </w:r>
    </w:p>
    <w:p w14:paraId="4D6ECE28" w14:textId="77777777" w:rsidR="00FE425C" w:rsidRPr="004E30A9" w:rsidRDefault="00FE425C" w:rsidP="00FE425C">
      <w:pPr>
        <w:pStyle w:val="ListParagraph"/>
        <w:tabs>
          <w:tab w:val="left" w:pos="284"/>
        </w:tabs>
        <w:spacing w:before="120" w:after="120" w:line="360" w:lineRule="exact"/>
        <w:ind w:left="0" w:firstLine="709"/>
        <w:contextualSpacing w:val="0"/>
        <w:jc w:val="both"/>
        <w:rPr>
          <w:rFonts w:ascii="Times New Roman" w:hAnsi="Times New Roman" w:cs="Times New Roman"/>
          <w:sz w:val="26"/>
          <w:szCs w:val="26"/>
        </w:rPr>
      </w:pPr>
      <w:r w:rsidRPr="004E30A9">
        <w:rPr>
          <w:rFonts w:ascii="Times New Roman" w:hAnsi="Times New Roman" w:cs="Times New Roman"/>
          <w:sz w:val="26"/>
          <w:szCs w:val="26"/>
        </w:rPr>
        <w:t>TCTC bị đổ vỡ được phân loại thành tổ chức không mang tầm quan trọng hệ thống và mang tầm quan trọng hệ thống (xử lý khủng hoảng) để xác định biện pháp xử lý phù hợp. Theo đó, FSA có thẩm quyền quyết định áp dụng các biện pháp xử lý đối với TCTC không mang tầm quan trọng hệ thống (áp dụng “cơ chế BHTG có hạn mức”) và Thủ tướng có thẩm quyền quyết định áp dụng các biện pháp xử lý đối với TCTC có tầm quan trọng hệ thống (“biện pháp ngăn ngừa khủng hoảng tài chính” và “biện pháp xử lý theo trật tự”).</w:t>
      </w:r>
    </w:p>
    <w:p w14:paraId="2EE7A7C7" w14:textId="18645ED4" w:rsidR="00FE425C" w:rsidRPr="004E30A9" w:rsidRDefault="00FE425C" w:rsidP="00FE425C">
      <w:pPr>
        <w:pStyle w:val="ListParagraph"/>
        <w:tabs>
          <w:tab w:val="left" w:pos="284"/>
        </w:tabs>
        <w:spacing w:before="120" w:after="120" w:line="360" w:lineRule="exact"/>
        <w:ind w:left="0" w:firstLine="709"/>
        <w:contextualSpacing w:val="0"/>
        <w:jc w:val="both"/>
        <w:rPr>
          <w:rFonts w:ascii="Times New Roman" w:hAnsi="Times New Roman" w:cs="Times New Roman"/>
          <w:sz w:val="26"/>
          <w:szCs w:val="26"/>
        </w:rPr>
      </w:pPr>
      <w:r w:rsidRPr="004E30A9">
        <w:rPr>
          <w:rFonts w:ascii="Times New Roman" w:hAnsi="Times New Roman" w:cs="Times New Roman"/>
          <w:sz w:val="26"/>
          <w:szCs w:val="26"/>
        </w:rPr>
        <w:t xml:space="preserve">Thủ tướng quyết định áp dụng cơ chế xử lý, sau khi thảo luận với Hội đồng ứng phó khủng hoảng tài chính (FSRC), bao gồm Thủ tướng, Chánh Văn phòng Nội các, Bộ trưởng Bộ Dịch vụ Tài chính, Bộ trưởng Bộ Tài chính, Chủ tịch </w:t>
      </w:r>
      <w:r w:rsidR="000B70C3" w:rsidRPr="004E30A9">
        <w:rPr>
          <w:rFonts w:ascii="Times New Roman" w:hAnsi="Times New Roman" w:cs="Times New Roman"/>
          <w:sz w:val="26"/>
          <w:szCs w:val="26"/>
        </w:rPr>
        <w:t>FSA</w:t>
      </w:r>
      <w:r w:rsidRPr="004E30A9">
        <w:rPr>
          <w:rFonts w:ascii="Times New Roman" w:hAnsi="Times New Roman" w:cs="Times New Roman"/>
          <w:sz w:val="26"/>
          <w:szCs w:val="26"/>
        </w:rPr>
        <w:t xml:space="preserve"> và Thống đốc Ngân hàng Trung ương Nhật Bản. FSA quy định chính sách xử lý và thực hiện lập kế hoạch xử lý, đồng thời phối hợp với Tổng công ty Bảo hiểm tiền gửi (BHTG) Nhật Bản (DICJ) và Ngân hàng Trung ương Nhật Bản về các khía cạnh hoạt động. Cơ quan này cũng cung cấp thông tin cần </w:t>
      </w:r>
      <w:r w:rsidRPr="004E30A9">
        <w:rPr>
          <w:rFonts w:ascii="Times New Roman" w:hAnsi="Times New Roman" w:cs="Times New Roman"/>
          <w:sz w:val="26"/>
          <w:szCs w:val="26"/>
        </w:rPr>
        <w:lastRenderedPageBreak/>
        <w:t>thiết để Thủ tướng quyết định áp dụng các biện pháp xử lý và chịu trách nhiệm thực hiện xử lý, bao gồm việc ban hành quyết định đặt hoạt động kinh doanh và tài sản của một TCTC đổ vỡ dưới sự quản lý của DICJ.</w:t>
      </w:r>
      <w:r w:rsidRPr="004E30A9">
        <w:rPr>
          <w:rFonts w:ascii="Times New Roman" w:hAnsi="Times New Roman" w:cs="Times New Roman"/>
          <w:sz w:val="26"/>
          <w:szCs w:val="26"/>
          <w:vertAlign w:val="superscript"/>
        </w:rPr>
        <w:footnoteReference w:id="10"/>
      </w:r>
    </w:p>
    <w:p w14:paraId="081C4F91" w14:textId="77777777" w:rsidR="00FE425C" w:rsidRPr="004E30A9" w:rsidRDefault="00FE425C" w:rsidP="00FE425C">
      <w:pPr>
        <w:pStyle w:val="ListParagraph"/>
        <w:tabs>
          <w:tab w:val="left" w:pos="284"/>
        </w:tabs>
        <w:spacing w:before="120" w:after="120" w:line="360" w:lineRule="exact"/>
        <w:ind w:left="0" w:firstLine="709"/>
        <w:contextualSpacing w:val="0"/>
        <w:jc w:val="both"/>
        <w:rPr>
          <w:rFonts w:ascii="Times New Roman" w:hAnsi="Times New Roman" w:cs="Times New Roman"/>
          <w:i/>
          <w:iCs/>
          <w:sz w:val="26"/>
          <w:szCs w:val="26"/>
        </w:rPr>
      </w:pPr>
      <w:bookmarkStart w:id="13" w:name="_Toc184511528"/>
      <w:r w:rsidRPr="004E30A9">
        <w:rPr>
          <w:rFonts w:ascii="Times New Roman" w:hAnsi="Times New Roman" w:cs="Times New Roman"/>
          <w:i/>
          <w:iCs/>
          <w:sz w:val="26"/>
          <w:szCs w:val="26"/>
        </w:rPr>
        <w:t>b. Điều kiện đặt vào xử lý</w:t>
      </w:r>
      <w:bookmarkEnd w:id="13"/>
    </w:p>
    <w:p w14:paraId="41253216" w14:textId="77777777" w:rsidR="00FE425C" w:rsidRPr="004E30A9" w:rsidRDefault="00FE425C" w:rsidP="00FE425C">
      <w:pPr>
        <w:pStyle w:val="ListParagraph"/>
        <w:tabs>
          <w:tab w:val="left" w:pos="284"/>
        </w:tabs>
        <w:spacing w:before="120" w:after="120" w:line="360" w:lineRule="exact"/>
        <w:ind w:left="0" w:firstLine="709"/>
        <w:contextualSpacing w:val="0"/>
        <w:jc w:val="both"/>
        <w:rPr>
          <w:rFonts w:ascii="Times New Roman" w:hAnsi="Times New Roman" w:cs="Times New Roman"/>
          <w:sz w:val="26"/>
          <w:szCs w:val="26"/>
        </w:rPr>
      </w:pPr>
      <w:r w:rsidRPr="004E30A9">
        <w:rPr>
          <w:rFonts w:ascii="Times New Roman" w:hAnsi="Times New Roman" w:cs="Times New Roman"/>
          <w:sz w:val="26"/>
          <w:szCs w:val="26"/>
        </w:rPr>
        <w:t xml:space="preserve">Khi xảy ra sự kiện thuộc 1 trong 2 loại sau: </w:t>
      </w:r>
    </w:p>
    <w:p w14:paraId="4AFF499D" w14:textId="77777777" w:rsidR="00FE425C" w:rsidRPr="004E30A9" w:rsidRDefault="00FE425C" w:rsidP="00FE425C">
      <w:pPr>
        <w:pStyle w:val="ListParagraph"/>
        <w:tabs>
          <w:tab w:val="left" w:pos="284"/>
        </w:tabs>
        <w:spacing w:before="120" w:after="120" w:line="360" w:lineRule="exact"/>
        <w:ind w:left="0" w:firstLine="709"/>
        <w:contextualSpacing w:val="0"/>
        <w:jc w:val="both"/>
        <w:rPr>
          <w:rFonts w:ascii="Times New Roman" w:hAnsi="Times New Roman" w:cs="Times New Roman"/>
          <w:sz w:val="26"/>
          <w:szCs w:val="26"/>
        </w:rPr>
      </w:pPr>
      <w:r w:rsidRPr="004E30A9">
        <w:rPr>
          <w:rFonts w:ascii="Times New Roman" w:hAnsi="Times New Roman" w:cs="Times New Roman"/>
          <w:sz w:val="26"/>
          <w:szCs w:val="26"/>
        </w:rPr>
        <w:t xml:space="preserve">(i) Tổ chức tài chính tạm dừng trả tiền gửi tiết kiệm cho khách hàng, v.v; hoặc </w:t>
      </w:r>
    </w:p>
    <w:p w14:paraId="3EB7DAC9" w14:textId="77777777" w:rsidR="00FE425C" w:rsidRPr="004E30A9" w:rsidRDefault="00FE425C" w:rsidP="00FE425C">
      <w:pPr>
        <w:pStyle w:val="ListParagraph"/>
        <w:tabs>
          <w:tab w:val="left" w:pos="284"/>
        </w:tabs>
        <w:spacing w:before="120" w:after="120" w:line="360" w:lineRule="exact"/>
        <w:ind w:left="0" w:firstLine="709"/>
        <w:contextualSpacing w:val="0"/>
        <w:jc w:val="both"/>
        <w:rPr>
          <w:rFonts w:ascii="Times New Roman" w:hAnsi="Times New Roman" w:cs="Times New Roman"/>
          <w:sz w:val="26"/>
          <w:szCs w:val="26"/>
        </w:rPr>
      </w:pPr>
      <w:r w:rsidRPr="004E30A9">
        <w:rPr>
          <w:rFonts w:ascii="Times New Roman" w:hAnsi="Times New Roman" w:cs="Times New Roman"/>
          <w:sz w:val="26"/>
          <w:szCs w:val="26"/>
        </w:rPr>
        <w:t>(ii) Hủy giấy phép kinh doanh, quyết định khởi động thủ tục phá sản hoặc có nghị quyết giải thể tổ chức tài chính.</w:t>
      </w:r>
    </w:p>
    <w:p w14:paraId="2E512730" w14:textId="77777777" w:rsidR="00FE425C" w:rsidRPr="004E30A9" w:rsidRDefault="00FE425C" w:rsidP="00FE425C">
      <w:pPr>
        <w:pStyle w:val="Heading3"/>
        <w:spacing w:before="120" w:after="120" w:line="360" w:lineRule="exact"/>
        <w:ind w:firstLine="709"/>
        <w:jc w:val="both"/>
        <w:rPr>
          <w:rFonts w:ascii="Times New Roman" w:hAnsi="Times New Roman"/>
          <w:b w:val="0"/>
          <w:bCs w:val="0"/>
          <w:i/>
          <w:iCs/>
          <w:lang w:val="vi-VN"/>
        </w:rPr>
      </w:pPr>
      <w:bookmarkStart w:id="14" w:name="_Toc181274313"/>
      <w:bookmarkStart w:id="15" w:name="_Toc184511529"/>
      <w:r w:rsidRPr="004E30A9">
        <w:rPr>
          <w:rFonts w:ascii="Times New Roman" w:hAnsi="Times New Roman"/>
          <w:b w:val="0"/>
          <w:bCs w:val="0"/>
          <w:i/>
          <w:iCs/>
        </w:rPr>
        <w:t>c</w:t>
      </w:r>
      <w:r w:rsidRPr="004E30A9">
        <w:rPr>
          <w:rFonts w:ascii="Times New Roman" w:hAnsi="Times New Roman"/>
          <w:b w:val="0"/>
          <w:bCs w:val="0"/>
          <w:i/>
          <w:iCs/>
          <w:lang w:val="vi-VN"/>
        </w:rPr>
        <w:t>. Các biện pháp xử lý</w:t>
      </w:r>
      <w:bookmarkEnd w:id="14"/>
      <w:bookmarkEnd w:id="15"/>
    </w:p>
    <w:p w14:paraId="7A5931ED" w14:textId="77777777" w:rsidR="00FE425C" w:rsidRPr="004E30A9" w:rsidRDefault="00FE425C" w:rsidP="00FE425C">
      <w:pPr>
        <w:pStyle w:val="ListParagraph"/>
        <w:tabs>
          <w:tab w:val="left" w:pos="284"/>
        </w:tabs>
        <w:spacing w:before="120" w:after="120" w:line="360" w:lineRule="exact"/>
        <w:ind w:left="0" w:firstLine="709"/>
        <w:contextualSpacing w:val="0"/>
        <w:jc w:val="both"/>
        <w:rPr>
          <w:rFonts w:ascii="Times New Roman" w:hAnsi="Times New Roman" w:cs="Times New Roman"/>
          <w:sz w:val="26"/>
          <w:szCs w:val="26"/>
        </w:rPr>
      </w:pPr>
      <w:r w:rsidRPr="004E30A9">
        <w:rPr>
          <w:rFonts w:ascii="Times New Roman" w:hAnsi="Times New Roman" w:cs="Times New Roman"/>
          <w:bCs/>
          <w:i/>
          <w:iCs/>
          <w:sz w:val="26"/>
          <w:szCs w:val="26"/>
        </w:rPr>
        <w:t>- Hỗ trợ tài chính</w:t>
      </w:r>
      <w:r w:rsidRPr="004E30A9">
        <w:rPr>
          <w:rFonts w:ascii="Times New Roman" w:hAnsi="Times New Roman" w:cs="Times New Roman"/>
          <w:iCs/>
          <w:sz w:val="26"/>
          <w:szCs w:val="26"/>
        </w:rPr>
        <w:t xml:space="preserve">: </w:t>
      </w:r>
      <w:r w:rsidRPr="004E30A9">
        <w:rPr>
          <w:rFonts w:ascii="Times New Roman" w:hAnsi="Times New Roman" w:cs="Times New Roman"/>
          <w:bCs/>
          <w:sz w:val="26"/>
          <w:szCs w:val="26"/>
        </w:rPr>
        <w:t>Điều 59</w:t>
      </w:r>
      <w:r w:rsidRPr="004E30A9">
        <w:rPr>
          <w:rFonts w:ascii="Times New Roman" w:hAnsi="Times New Roman" w:cs="Times New Roman"/>
          <w:sz w:val="26"/>
          <w:szCs w:val="26"/>
        </w:rPr>
        <w:t xml:space="preserve"> Luật BHTG quy định: (1) TCTC tiếp nhận có thể đăng ký để DICJ thực hiện các biện pháp được nêu dưới đây nhằm hỗ trợ hoạt động tiếp nhận: (i) Bơm vốn; (ii) Cho vay hoặc gửi tiền; (iii) Mua lại tài sản; (iv) Bảo lãnh các nghĩa vụ nợ; (v) Tiếp nhận các nghĩa vụ nợ; (vi) Mua cổ phiếu ưu đãi; và (vii) Bồi thường thiệt hại cho chủ nợ trong trường hợp nợ không được hoàn trả hoặc không được hoàn trả đầy đủ</w:t>
      </w:r>
      <w:r w:rsidRPr="004E30A9">
        <w:rPr>
          <w:rFonts w:ascii="Times New Roman" w:hAnsi="Times New Roman" w:cs="Times New Roman"/>
          <w:sz w:val="26"/>
          <w:szCs w:val="26"/>
          <w:vertAlign w:val="superscript"/>
        </w:rPr>
        <w:footnoteReference w:id="11"/>
      </w:r>
      <w:r w:rsidRPr="004E30A9">
        <w:rPr>
          <w:rFonts w:ascii="Times New Roman" w:hAnsi="Times New Roman" w:cs="Times New Roman"/>
          <w:sz w:val="26"/>
          <w:szCs w:val="26"/>
        </w:rPr>
        <w:t>.</w:t>
      </w:r>
    </w:p>
    <w:p w14:paraId="4ADD5AF7" w14:textId="77777777" w:rsidR="00FE425C" w:rsidRPr="004E30A9" w:rsidRDefault="00FE425C" w:rsidP="00FE425C">
      <w:pPr>
        <w:pStyle w:val="ListParagraph"/>
        <w:tabs>
          <w:tab w:val="left" w:pos="284"/>
        </w:tabs>
        <w:spacing w:before="120" w:after="120" w:line="360" w:lineRule="exact"/>
        <w:ind w:left="0" w:firstLine="709"/>
        <w:contextualSpacing w:val="0"/>
        <w:jc w:val="both"/>
        <w:rPr>
          <w:rFonts w:ascii="Times New Roman" w:hAnsi="Times New Roman" w:cs="Times New Roman"/>
          <w:sz w:val="26"/>
          <w:szCs w:val="26"/>
        </w:rPr>
      </w:pPr>
      <w:r w:rsidRPr="004E30A9">
        <w:rPr>
          <w:rFonts w:ascii="Times New Roman" w:hAnsi="Times New Roman" w:cs="Times New Roman"/>
          <w:bCs/>
          <w:i/>
          <w:iCs/>
          <w:sz w:val="26"/>
          <w:szCs w:val="26"/>
        </w:rPr>
        <w:t>- Bơm vốn</w:t>
      </w:r>
      <w:r w:rsidRPr="004E30A9">
        <w:rPr>
          <w:rFonts w:ascii="Times New Roman" w:hAnsi="Times New Roman" w:cs="Times New Roman"/>
          <w:sz w:val="26"/>
          <w:szCs w:val="26"/>
        </w:rPr>
        <w:t>: DICJ sẽ thực hiện nhằm khôi phục lại tỷ lệ đủ vốn của TCTGBHTG bằng cách mua cổ phần thường, cổ phần ưu đãi hoặc trái phiếu thứ cấp và các công cụ tăng vốn khác mà tổ chức này hay các công ty nắm giữ tổ chức này sở hữu.</w:t>
      </w:r>
    </w:p>
    <w:p w14:paraId="28F797F7" w14:textId="77777777" w:rsidR="00FE425C" w:rsidRPr="004E30A9" w:rsidRDefault="00FE425C" w:rsidP="00FE425C">
      <w:pPr>
        <w:pStyle w:val="ListParagraph"/>
        <w:tabs>
          <w:tab w:val="left" w:pos="284"/>
        </w:tabs>
        <w:spacing w:before="120" w:after="120" w:line="360" w:lineRule="exact"/>
        <w:ind w:left="0" w:firstLine="709"/>
        <w:contextualSpacing w:val="0"/>
        <w:jc w:val="both"/>
        <w:rPr>
          <w:rFonts w:ascii="Times New Roman" w:hAnsi="Times New Roman" w:cs="Times New Roman"/>
          <w:sz w:val="26"/>
          <w:szCs w:val="26"/>
        </w:rPr>
      </w:pPr>
      <w:r w:rsidRPr="004E30A9">
        <w:rPr>
          <w:rFonts w:ascii="Times New Roman" w:hAnsi="Times New Roman" w:cs="Times New Roman"/>
          <w:bCs/>
          <w:i/>
          <w:sz w:val="26"/>
          <w:szCs w:val="26"/>
        </w:rPr>
        <w:t>- NH Bắc cầu (NHBC)</w:t>
      </w:r>
      <w:r w:rsidRPr="004E30A9">
        <w:rPr>
          <w:rFonts w:ascii="Times New Roman" w:hAnsi="Times New Roman" w:cs="Times New Roman"/>
          <w:iCs/>
          <w:sz w:val="26"/>
          <w:szCs w:val="26"/>
        </w:rPr>
        <w:t xml:space="preserve">: </w:t>
      </w:r>
      <w:r w:rsidRPr="004E30A9">
        <w:rPr>
          <w:rFonts w:ascii="Times New Roman" w:hAnsi="Times New Roman" w:cs="Times New Roman"/>
          <w:sz w:val="26"/>
          <w:szCs w:val="26"/>
        </w:rPr>
        <w:t>nếu cần thiết, hoạt động kinh doanh của tổ chức bị đổ vỡ có thể chuyển giao cho 01 NHBC do DICJ thành lập, nhằm tạm thời tiếp nhận hoạt động kinh doanh của ngân hàng đổ vỡ. NHBC được sử dụng khi không tìm được TCTC tiếp nhận nào tại thời điểm đổ vỡ xảy ra, đóng vai trò như một cầu nối cho đến khi tìm ra một tổ chức tiếp nhận thích hợp.</w:t>
      </w:r>
    </w:p>
    <w:p w14:paraId="3D8D973A" w14:textId="77777777" w:rsidR="00FE425C" w:rsidRPr="004E30A9" w:rsidRDefault="00FE425C" w:rsidP="00FE425C">
      <w:pPr>
        <w:pStyle w:val="ListParagraph"/>
        <w:tabs>
          <w:tab w:val="left" w:pos="284"/>
        </w:tabs>
        <w:spacing w:before="120" w:after="120" w:line="360" w:lineRule="exact"/>
        <w:ind w:left="0" w:firstLine="709"/>
        <w:contextualSpacing w:val="0"/>
        <w:jc w:val="both"/>
        <w:rPr>
          <w:rFonts w:ascii="Times New Roman" w:hAnsi="Times New Roman" w:cs="Times New Roman"/>
          <w:sz w:val="26"/>
          <w:szCs w:val="26"/>
        </w:rPr>
      </w:pPr>
      <w:r w:rsidRPr="004E30A9">
        <w:rPr>
          <w:rFonts w:ascii="Times New Roman" w:hAnsi="Times New Roman" w:cs="Times New Roman"/>
          <w:bCs/>
          <w:i/>
          <w:iCs/>
          <w:sz w:val="26"/>
          <w:szCs w:val="26"/>
        </w:rPr>
        <w:t>- Chi trả và thanh lý</w:t>
      </w:r>
      <w:r w:rsidRPr="004E30A9">
        <w:rPr>
          <w:rFonts w:ascii="Times New Roman" w:hAnsi="Times New Roman" w:cs="Times New Roman"/>
          <w:sz w:val="26"/>
          <w:szCs w:val="26"/>
        </w:rPr>
        <w:t>: DICJ sẽ tiến hành chi trả trong trường hợp TCTC bị đóng cửa và thanh lý. Có 02 loại chi trả bảo hiểm và chi trả tạm thời (có hạn mức).</w:t>
      </w:r>
    </w:p>
    <w:p w14:paraId="7BEF6442" w14:textId="77777777" w:rsidR="00FE425C" w:rsidRPr="004E30A9" w:rsidRDefault="00FE425C" w:rsidP="00FE425C">
      <w:pPr>
        <w:pStyle w:val="ListParagraph"/>
        <w:tabs>
          <w:tab w:val="left" w:pos="284"/>
        </w:tabs>
        <w:spacing w:before="120" w:after="120" w:line="360" w:lineRule="exact"/>
        <w:ind w:left="0" w:firstLine="709"/>
        <w:contextualSpacing w:val="0"/>
        <w:jc w:val="both"/>
        <w:rPr>
          <w:rFonts w:ascii="Times New Roman" w:hAnsi="Times New Roman" w:cs="Times New Roman"/>
          <w:sz w:val="26"/>
          <w:szCs w:val="26"/>
        </w:rPr>
      </w:pPr>
      <w:r w:rsidRPr="004E30A9">
        <w:rPr>
          <w:rFonts w:ascii="Times New Roman" w:hAnsi="Times New Roman" w:cs="Times New Roman"/>
          <w:bCs/>
          <w:i/>
          <w:iCs/>
          <w:sz w:val="26"/>
          <w:szCs w:val="26"/>
        </w:rPr>
        <w:t>- Các biện pháp khác:</w:t>
      </w:r>
      <w:r w:rsidRPr="004E30A9">
        <w:rPr>
          <w:rFonts w:ascii="Times New Roman" w:hAnsi="Times New Roman" w:cs="Times New Roman"/>
          <w:sz w:val="26"/>
          <w:szCs w:val="26"/>
        </w:rPr>
        <w:t xml:space="preserve"> thực hiện các nghiệp vụ liên quan đến vai trò là cơ quan quản lý tài chính; BHTG và quản lý khủng hoảng đặc biệt để đối phó với khủng hoảng tài chính; Thực hiện các biện pháp xử lý có trật tự vì mục đích đảm bảo ổn định hệ thống tài chính…</w:t>
      </w:r>
    </w:p>
    <w:p w14:paraId="29E6302A" w14:textId="77777777" w:rsidR="00FE425C" w:rsidRPr="004E30A9" w:rsidRDefault="00FE425C" w:rsidP="00FE425C">
      <w:pPr>
        <w:pStyle w:val="Heading2"/>
        <w:spacing w:before="120" w:after="120" w:line="360" w:lineRule="exact"/>
        <w:ind w:firstLine="709"/>
        <w:jc w:val="both"/>
        <w:rPr>
          <w:rFonts w:ascii="Times New Roman" w:hAnsi="Times New Roman"/>
          <w:bCs/>
          <w:i w:val="0"/>
          <w:iCs w:val="0"/>
          <w:color w:val="auto"/>
          <w:lang w:val="pl-PL"/>
        </w:rPr>
      </w:pPr>
      <w:bookmarkStart w:id="16" w:name="_Toc181274304"/>
      <w:bookmarkStart w:id="17" w:name="_Toc184511520"/>
      <w:r w:rsidRPr="004E30A9">
        <w:rPr>
          <w:rFonts w:ascii="Times New Roman" w:hAnsi="Times New Roman"/>
          <w:bCs/>
          <w:color w:val="auto"/>
          <w:lang w:val="pl-PL"/>
        </w:rPr>
        <w:t xml:space="preserve">d. </w:t>
      </w:r>
      <w:bookmarkEnd w:id="16"/>
      <w:r w:rsidRPr="004E30A9">
        <w:rPr>
          <w:rFonts w:ascii="Times New Roman" w:hAnsi="Times New Roman"/>
          <w:bCs/>
          <w:color w:val="auto"/>
          <w:lang w:val="pl-PL"/>
        </w:rPr>
        <w:t xml:space="preserve">Quy trình </w:t>
      </w:r>
      <w:bookmarkEnd w:id="17"/>
      <w:r w:rsidRPr="004E30A9">
        <w:rPr>
          <w:rFonts w:ascii="Times New Roman" w:hAnsi="Times New Roman"/>
          <w:bCs/>
          <w:color w:val="auto"/>
          <w:lang w:val="pl-PL"/>
        </w:rPr>
        <w:t>xử lý</w:t>
      </w:r>
    </w:p>
    <w:p w14:paraId="7ED27C38" w14:textId="77777777" w:rsidR="00FE425C" w:rsidRPr="004E30A9" w:rsidRDefault="00FE425C" w:rsidP="00FE425C">
      <w:pPr>
        <w:pStyle w:val="ListParagraph"/>
        <w:tabs>
          <w:tab w:val="left" w:pos="284"/>
        </w:tabs>
        <w:spacing w:before="120" w:after="120" w:line="360" w:lineRule="exact"/>
        <w:ind w:left="0" w:firstLine="709"/>
        <w:contextualSpacing w:val="0"/>
        <w:jc w:val="both"/>
        <w:rPr>
          <w:rFonts w:ascii="Times New Roman" w:hAnsi="Times New Roman" w:cs="Times New Roman"/>
          <w:bCs/>
          <w:i/>
          <w:iCs/>
          <w:sz w:val="26"/>
          <w:szCs w:val="26"/>
        </w:rPr>
      </w:pPr>
      <w:r w:rsidRPr="004E30A9">
        <w:rPr>
          <w:rFonts w:ascii="Times New Roman" w:hAnsi="Times New Roman" w:cs="Times New Roman"/>
          <w:bCs/>
          <w:i/>
          <w:iCs/>
          <w:sz w:val="26"/>
          <w:szCs w:val="26"/>
        </w:rPr>
        <w:t>- Trường hợp không có rủi ro hệ thống:</w:t>
      </w:r>
    </w:p>
    <w:p w14:paraId="6BF45CB0" w14:textId="77777777" w:rsidR="00FE425C" w:rsidRPr="004E30A9" w:rsidRDefault="00FE425C" w:rsidP="00FE425C">
      <w:pPr>
        <w:pStyle w:val="ListParagraph"/>
        <w:tabs>
          <w:tab w:val="left" w:pos="284"/>
        </w:tabs>
        <w:spacing w:before="120" w:after="120" w:line="360" w:lineRule="exact"/>
        <w:ind w:left="0" w:firstLine="709"/>
        <w:contextualSpacing w:val="0"/>
        <w:jc w:val="both"/>
        <w:rPr>
          <w:rFonts w:ascii="Times New Roman" w:hAnsi="Times New Roman" w:cs="Times New Roman"/>
          <w:sz w:val="26"/>
          <w:szCs w:val="26"/>
        </w:rPr>
      </w:pPr>
      <w:r w:rsidRPr="004E30A9">
        <w:rPr>
          <w:rFonts w:ascii="Times New Roman" w:hAnsi="Times New Roman" w:cs="Times New Roman"/>
          <w:sz w:val="26"/>
          <w:szCs w:val="26"/>
        </w:rPr>
        <w:lastRenderedPageBreak/>
        <w:t xml:space="preserve">Khi FSA xác định một ngân hàng bị đổ vỡ, FSA sẽ chỉ định DICJ là cơ quan tiếp quản ngân hàng đổ vỡ. </w:t>
      </w:r>
    </w:p>
    <w:p w14:paraId="1894BEF5" w14:textId="0DE659AA" w:rsidR="00FE425C" w:rsidRPr="004E30A9" w:rsidRDefault="00FE425C" w:rsidP="00FE425C">
      <w:pPr>
        <w:pStyle w:val="ListParagraph"/>
        <w:tabs>
          <w:tab w:val="left" w:pos="284"/>
        </w:tabs>
        <w:spacing w:before="120" w:after="120" w:line="360" w:lineRule="exact"/>
        <w:ind w:left="0" w:firstLine="709"/>
        <w:contextualSpacing w:val="0"/>
        <w:jc w:val="both"/>
        <w:rPr>
          <w:rFonts w:ascii="Times New Roman" w:hAnsi="Times New Roman" w:cs="Times New Roman"/>
          <w:sz w:val="26"/>
          <w:szCs w:val="26"/>
        </w:rPr>
      </w:pPr>
      <w:r w:rsidRPr="004E30A9">
        <w:rPr>
          <w:rFonts w:ascii="Times New Roman" w:hAnsi="Times New Roman" w:cs="Times New Roman"/>
          <w:sz w:val="26"/>
          <w:szCs w:val="26"/>
        </w:rPr>
        <w:t xml:space="preserve">Trong trường hợp bảo hiểm Loại 1 xảy ra (tổ chức tài chính tạm dừng trả tiền gửi tiết kiệm cho khách hàng), DICJ áp dụng một trong hai biện pháp sau: biện pháp chi trả tiền bảo hiểm, khi tổ chức BHTG chi trả tiền cho người gửi tiền; và biện pháp hỗ trợ </w:t>
      </w:r>
      <w:r w:rsidR="000B70C3" w:rsidRPr="004E30A9">
        <w:rPr>
          <w:rFonts w:ascii="Times New Roman" w:hAnsi="Times New Roman" w:cs="Times New Roman"/>
          <w:sz w:val="26"/>
          <w:szCs w:val="26"/>
        </w:rPr>
        <w:t>P&amp;A</w:t>
      </w:r>
      <w:r w:rsidRPr="004E30A9">
        <w:rPr>
          <w:rFonts w:ascii="Times New Roman" w:hAnsi="Times New Roman" w:cs="Times New Roman"/>
          <w:sz w:val="26"/>
          <w:szCs w:val="26"/>
        </w:rPr>
        <w:t xml:space="preserve">, theo đó hỗ trợ tài chính cho tổ chức tiếp nhận hoặc pháp nhân tiếp quản các khoản tiền gửi được bảo hiểm, v.v. của một tổ chức tài chính phá sản. Biện pháp </w:t>
      </w:r>
      <w:r w:rsidR="000B70C3" w:rsidRPr="004E30A9">
        <w:rPr>
          <w:rFonts w:ascii="Times New Roman" w:hAnsi="Times New Roman" w:cs="Times New Roman"/>
          <w:sz w:val="26"/>
          <w:szCs w:val="26"/>
        </w:rPr>
        <w:t>P&amp;A</w:t>
      </w:r>
      <w:r w:rsidRPr="004E30A9">
        <w:rPr>
          <w:rFonts w:ascii="Times New Roman" w:hAnsi="Times New Roman" w:cs="Times New Roman"/>
          <w:sz w:val="26"/>
          <w:szCs w:val="26"/>
        </w:rPr>
        <w:t xml:space="preserve"> được ưu tiên hơn so với chi trả vì </w:t>
      </w:r>
      <w:r w:rsidR="000B70C3" w:rsidRPr="004E30A9">
        <w:rPr>
          <w:rFonts w:ascii="Times New Roman" w:hAnsi="Times New Roman" w:cs="Times New Roman"/>
          <w:sz w:val="26"/>
          <w:szCs w:val="26"/>
        </w:rPr>
        <w:t>P&amp;A</w:t>
      </w:r>
      <w:r w:rsidRPr="004E30A9">
        <w:rPr>
          <w:rFonts w:ascii="Times New Roman" w:hAnsi="Times New Roman" w:cs="Times New Roman"/>
          <w:sz w:val="26"/>
          <w:szCs w:val="26"/>
        </w:rPr>
        <w:t xml:space="preserve"> thường hiệu quả hơn về chi phí và ít gây gián đoạn thị trường và nền kinh tế địa phương. DICJ hỗ trợ tài chính cho tổ chức tiếp nhận hoặc pháp nhân tiếp quản các khoản tiền gửi được bảo hiểm, v.v. của một tổ chức tài chính phá sản, với số tiền tối đa là chi phí ước tính cần thiết để áp dụng biện pháp chi trả.</w:t>
      </w:r>
    </w:p>
    <w:p w14:paraId="1D6E6997" w14:textId="77777777" w:rsidR="00FE425C" w:rsidRPr="004E30A9" w:rsidRDefault="00FE425C" w:rsidP="00FE425C">
      <w:pPr>
        <w:pStyle w:val="ListParagraph"/>
        <w:tabs>
          <w:tab w:val="left" w:pos="284"/>
        </w:tabs>
        <w:spacing w:before="120" w:after="120" w:line="360" w:lineRule="exact"/>
        <w:ind w:left="0" w:firstLine="709"/>
        <w:contextualSpacing w:val="0"/>
        <w:jc w:val="both"/>
        <w:rPr>
          <w:rFonts w:ascii="Times New Roman" w:hAnsi="Times New Roman" w:cs="Times New Roman"/>
          <w:sz w:val="26"/>
          <w:szCs w:val="26"/>
        </w:rPr>
      </w:pPr>
      <w:r w:rsidRPr="004E30A9">
        <w:rPr>
          <w:rFonts w:ascii="Times New Roman" w:hAnsi="Times New Roman" w:cs="Times New Roman"/>
          <w:sz w:val="26"/>
          <w:szCs w:val="26"/>
        </w:rPr>
        <w:t xml:space="preserve">Trong trường hợp bảo hiểm Loại 2 xảy ra (hủy giấy phép kinh doanh, quyết định khởi động thủ tục phá sản hoặc có nghị quyết giải thể tổ chức tài chính), phương pháp chi trả tiền bảo hiểm được áp dụng vì cơ chế tài chính của tổ chức tài chính bị đổ vỡ không được duy trì trong trường hợp này. </w:t>
      </w:r>
    </w:p>
    <w:p w14:paraId="2FD57C41" w14:textId="77777777" w:rsidR="00FE425C" w:rsidRPr="004E30A9" w:rsidRDefault="00FE425C" w:rsidP="00FE425C">
      <w:pPr>
        <w:spacing w:before="120" w:after="120" w:line="360" w:lineRule="exact"/>
        <w:ind w:firstLine="709"/>
        <w:rPr>
          <w:rFonts w:ascii="Times New Roman" w:hAnsi="Times New Roman" w:cs="Times New Roman"/>
          <w:sz w:val="26"/>
          <w:szCs w:val="26"/>
        </w:rPr>
      </w:pPr>
      <w:r w:rsidRPr="004E30A9">
        <w:rPr>
          <w:rFonts w:ascii="Times New Roman" w:hAnsi="Times New Roman" w:cs="Times New Roman"/>
          <w:sz w:val="26"/>
          <w:szCs w:val="26"/>
        </w:rPr>
        <w:t>Nhiệm vụ của DICJ trong quá trình xử lý bao gồm:</w:t>
      </w:r>
    </w:p>
    <w:p w14:paraId="2C0C9E82" w14:textId="77777777" w:rsidR="00FE425C" w:rsidRPr="004E30A9" w:rsidRDefault="00FE425C" w:rsidP="00FE425C">
      <w:pPr>
        <w:pStyle w:val="ListParagraph"/>
        <w:numPr>
          <w:ilvl w:val="2"/>
          <w:numId w:val="2"/>
        </w:numPr>
        <w:tabs>
          <w:tab w:val="clear" w:pos="2160"/>
          <w:tab w:val="left" w:pos="993"/>
        </w:tabs>
        <w:spacing w:before="120" w:after="120" w:line="360" w:lineRule="exact"/>
        <w:ind w:left="0" w:firstLine="709"/>
        <w:contextualSpacing w:val="0"/>
        <w:jc w:val="both"/>
        <w:rPr>
          <w:rFonts w:ascii="Times New Roman" w:hAnsi="Times New Roman" w:cs="Times New Roman"/>
          <w:sz w:val="26"/>
          <w:szCs w:val="26"/>
        </w:rPr>
      </w:pPr>
      <w:r w:rsidRPr="004E30A9">
        <w:rPr>
          <w:rFonts w:ascii="Times New Roman" w:hAnsi="Times New Roman" w:cs="Times New Roman"/>
          <w:sz w:val="26"/>
          <w:szCs w:val="26"/>
        </w:rPr>
        <w:t>Tiếp quản ngân hàng bị đổ vỡ ngay sau khi “quyết định đặt tổ chức tài chính vào tình trạng quản lý” được ban hành để chuẩn bị cho việc tiếp tục hoạt động</w:t>
      </w:r>
    </w:p>
    <w:p w14:paraId="7B29B358" w14:textId="77777777" w:rsidR="00FE425C" w:rsidRPr="004E30A9" w:rsidRDefault="00FE425C" w:rsidP="00FE425C">
      <w:pPr>
        <w:pStyle w:val="ListParagraph"/>
        <w:numPr>
          <w:ilvl w:val="2"/>
          <w:numId w:val="2"/>
        </w:numPr>
        <w:tabs>
          <w:tab w:val="clear" w:pos="2160"/>
          <w:tab w:val="left" w:pos="993"/>
        </w:tabs>
        <w:spacing w:before="120" w:after="120" w:line="360" w:lineRule="exact"/>
        <w:ind w:left="0" w:firstLine="709"/>
        <w:contextualSpacing w:val="0"/>
        <w:jc w:val="both"/>
        <w:rPr>
          <w:rFonts w:ascii="Times New Roman" w:hAnsi="Times New Roman" w:cs="Times New Roman"/>
          <w:sz w:val="26"/>
          <w:szCs w:val="26"/>
        </w:rPr>
      </w:pPr>
      <w:r w:rsidRPr="004E30A9">
        <w:rPr>
          <w:rFonts w:ascii="Times New Roman" w:hAnsi="Times New Roman" w:cs="Times New Roman"/>
          <w:sz w:val="26"/>
          <w:szCs w:val="26"/>
        </w:rPr>
        <w:t>Quản lý tổ chức tài chính phá sản để duy trì hoạt động</w:t>
      </w:r>
    </w:p>
    <w:p w14:paraId="09D23A2C" w14:textId="77777777" w:rsidR="00FE425C" w:rsidRPr="004E30A9" w:rsidRDefault="00FE425C" w:rsidP="00FE425C">
      <w:pPr>
        <w:pStyle w:val="ListParagraph"/>
        <w:numPr>
          <w:ilvl w:val="2"/>
          <w:numId w:val="2"/>
        </w:numPr>
        <w:tabs>
          <w:tab w:val="clear" w:pos="2160"/>
          <w:tab w:val="left" w:pos="993"/>
        </w:tabs>
        <w:spacing w:before="120" w:after="120" w:line="360" w:lineRule="exact"/>
        <w:ind w:left="0" w:firstLine="709"/>
        <w:contextualSpacing w:val="0"/>
        <w:jc w:val="both"/>
        <w:rPr>
          <w:rFonts w:ascii="Times New Roman" w:hAnsi="Times New Roman" w:cs="Times New Roman"/>
          <w:sz w:val="26"/>
          <w:szCs w:val="26"/>
        </w:rPr>
      </w:pPr>
      <w:r w:rsidRPr="004E30A9">
        <w:rPr>
          <w:rFonts w:ascii="Times New Roman" w:hAnsi="Times New Roman" w:cs="Times New Roman"/>
          <w:sz w:val="26"/>
          <w:szCs w:val="26"/>
        </w:rPr>
        <w:t>Chi trả tiền gửi được bảo hiểm</w:t>
      </w:r>
    </w:p>
    <w:p w14:paraId="610E5F8E" w14:textId="77777777" w:rsidR="00FE425C" w:rsidRPr="004E30A9" w:rsidRDefault="00FE425C" w:rsidP="00FE425C">
      <w:pPr>
        <w:pStyle w:val="ListParagraph"/>
        <w:numPr>
          <w:ilvl w:val="2"/>
          <w:numId w:val="2"/>
        </w:numPr>
        <w:tabs>
          <w:tab w:val="clear" w:pos="2160"/>
          <w:tab w:val="left" w:pos="993"/>
        </w:tabs>
        <w:spacing w:before="120" w:after="120" w:line="360" w:lineRule="exact"/>
        <w:ind w:left="0" w:firstLine="709"/>
        <w:contextualSpacing w:val="0"/>
        <w:jc w:val="both"/>
        <w:rPr>
          <w:rFonts w:ascii="Times New Roman" w:hAnsi="Times New Roman" w:cs="Times New Roman"/>
          <w:sz w:val="26"/>
          <w:szCs w:val="26"/>
        </w:rPr>
      </w:pPr>
      <w:r w:rsidRPr="004E30A9">
        <w:rPr>
          <w:rFonts w:ascii="Times New Roman" w:hAnsi="Times New Roman" w:cs="Times New Roman"/>
          <w:sz w:val="26"/>
          <w:szCs w:val="26"/>
        </w:rPr>
        <w:t>Quản lý tài sản tốt và xử lý tài sản xấu</w:t>
      </w:r>
    </w:p>
    <w:p w14:paraId="7F74C5EA" w14:textId="77777777" w:rsidR="00FE425C" w:rsidRPr="004E30A9" w:rsidRDefault="00FE425C" w:rsidP="00FE425C">
      <w:pPr>
        <w:pStyle w:val="ListParagraph"/>
        <w:numPr>
          <w:ilvl w:val="2"/>
          <w:numId w:val="2"/>
        </w:numPr>
        <w:tabs>
          <w:tab w:val="clear" w:pos="2160"/>
          <w:tab w:val="left" w:pos="993"/>
        </w:tabs>
        <w:spacing w:before="120" w:after="120" w:line="360" w:lineRule="exact"/>
        <w:ind w:left="0" w:firstLine="709"/>
        <w:contextualSpacing w:val="0"/>
        <w:jc w:val="both"/>
        <w:rPr>
          <w:rFonts w:ascii="Times New Roman" w:hAnsi="Times New Roman" w:cs="Times New Roman"/>
          <w:sz w:val="26"/>
          <w:szCs w:val="26"/>
        </w:rPr>
      </w:pPr>
      <w:r w:rsidRPr="004E30A9">
        <w:rPr>
          <w:rFonts w:ascii="Times New Roman" w:hAnsi="Times New Roman" w:cs="Times New Roman"/>
          <w:sz w:val="26"/>
          <w:szCs w:val="26"/>
        </w:rPr>
        <w:t>Tìm cách chuyển giao nhanh chóng hoạt động kinh doanh cho tổ chức tài chính tiếp nhận thông qua hỗ trợ tài chính</w:t>
      </w:r>
    </w:p>
    <w:p w14:paraId="3DD9A176" w14:textId="77777777" w:rsidR="00FE425C" w:rsidRPr="004E30A9" w:rsidRDefault="00FE425C" w:rsidP="00FE425C">
      <w:pPr>
        <w:pStyle w:val="ListParagraph"/>
        <w:numPr>
          <w:ilvl w:val="2"/>
          <w:numId w:val="2"/>
        </w:numPr>
        <w:tabs>
          <w:tab w:val="clear" w:pos="2160"/>
          <w:tab w:val="left" w:pos="993"/>
        </w:tabs>
        <w:spacing w:before="120" w:after="120" w:line="360" w:lineRule="exact"/>
        <w:ind w:left="0" w:firstLine="709"/>
        <w:contextualSpacing w:val="0"/>
        <w:jc w:val="both"/>
        <w:rPr>
          <w:rFonts w:ascii="Times New Roman" w:hAnsi="Times New Roman" w:cs="Times New Roman"/>
          <w:sz w:val="26"/>
          <w:szCs w:val="26"/>
        </w:rPr>
      </w:pPr>
      <w:r w:rsidRPr="004E30A9">
        <w:rPr>
          <w:rFonts w:ascii="Times New Roman" w:hAnsi="Times New Roman" w:cs="Times New Roman"/>
          <w:sz w:val="26"/>
          <w:szCs w:val="26"/>
        </w:rPr>
        <w:t>Nộp đơn kiện dân sự và/hoặc cáo buộc hình sự</w:t>
      </w:r>
    </w:p>
    <w:p w14:paraId="611404A8" w14:textId="77777777" w:rsidR="00FE425C" w:rsidRPr="004E30A9" w:rsidRDefault="00FE425C" w:rsidP="00FE425C">
      <w:pPr>
        <w:pStyle w:val="ListParagraph"/>
        <w:tabs>
          <w:tab w:val="left" w:pos="284"/>
        </w:tabs>
        <w:spacing w:after="120" w:line="276" w:lineRule="auto"/>
        <w:ind w:left="0"/>
        <w:contextualSpacing w:val="0"/>
        <w:jc w:val="center"/>
        <w:rPr>
          <w:rFonts w:ascii="Times New Roman" w:hAnsi="Times New Roman" w:cs="Times New Roman"/>
          <w:b/>
          <w:bCs/>
          <w:sz w:val="26"/>
          <w:szCs w:val="26"/>
        </w:rPr>
      </w:pPr>
      <w:r w:rsidRPr="004E30A9">
        <w:rPr>
          <w:rFonts w:ascii="Times New Roman" w:hAnsi="Times New Roman" w:cs="Times New Roman"/>
          <w:b/>
          <w:bCs/>
          <w:sz w:val="26"/>
          <w:szCs w:val="26"/>
        </w:rPr>
        <w:t>Quy trình xử lý thông thường (biện pháp P&amp;A)</w:t>
      </w:r>
    </w:p>
    <w:p w14:paraId="5803843C" w14:textId="41CB1B14" w:rsidR="00FE425C" w:rsidRPr="004E30A9" w:rsidRDefault="00FE425C" w:rsidP="00FE425C">
      <w:pPr>
        <w:pStyle w:val="ListParagraph"/>
        <w:tabs>
          <w:tab w:val="left" w:pos="284"/>
        </w:tabs>
        <w:spacing w:after="120" w:line="276" w:lineRule="auto"/>
        <w:ind w:left="0"/>
        <w:contextualSpacing w:val="0"/>
        <w:jc w:val="center"/>
        <w:rPr>
          <w:i/>
          <w:iCs/>
          <w:sz w:val="26"/>
          <w:szCs w:val="26"/>
        </w:rPr>
      </w:pPr>
      <w:r w:rsidRPr="004E30A9">
        <w:rPr>
          <w:i/>
          <w:noProof/>
          <w:sz w:val="26"/>
          <w:szCs w:val="26"/>
        </w:rPr>
        <w:lastRenderedPageBreak/>
        <w:drawing>
          <wp:inline distT="0" distB="0" distL="0" distR="0" wp14:anchorId="46559BED" wp14:editId="68C75314">
            <wp:extent cx="5947410" cy="56400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7410" cy="5640070"/>
                    </a:xfrm>
                    <a:prstGeom prst="rect">
                      <a:avLst/>
                    </a:prstGeom>
                    <a:noFill/>
                    <a:ln>
                      <a:noFill/>
                    </a:ln>
                  </pic:spPr>
                </pic:pic>
              </a:graphicData>
            </a:graphic>
          </wp:inline>
        </w:drawing>
      </w:r>
    </w:p>
    <w:p w14:paraId="19F4DE85" w14:textId="77777777" w:rsidR="00FE425C" w:rsidRPr="004E30A9" w:rsidRDefault="00FE425C" w:rsidP="00A26ADD">
      <w:pPr>
        <w:pStyle w:val="ListParagraph"/>
        <w:tabs>
          <w:tab w:val="left" w:pos="284"/>
        </w:tabs>
        <w:spacing w:before="120" w:after="120" w:line="276" w:lineRule="auto"/>
        <w:ind w:left="0" w:firstLine="709"/>
        <w:contextualSpacing w:val="0"/>
        <w:jc w:val="both"/>
        <w:rPr>
          <w:rFonts w:ascii="Times New Roman" w:hAnsi="Times New Roman" w:cs="Times New Roman"/>
          <w:bCs/>
          <w:i/>
          <w:iCs/>
          <w:sz w:val="26"/>
          <w:szCs w:val="26"/>
        </w:rPr>
      </w:pPr>
      <w:r w:rsidRPr="004E30A9">
        <w:rPr>
          <w:rFonts w:ascii="Times New Roman" w:hAnsi="Times New Roman" w:cs="Times New Roman"/>
          <w:bCs/>
          <w:i/>
          <w:iCs/>
          <w:sz w:val="26"/>
          <w:szCs w:val="26"/>
        </w:rPr>
        <w:t>- Trường hợp có rủi ro hệ thống:</w:t>
      </w:r>
    </w:p>
    <w:p w14:paraId="62095D4B" w14:textId="77777777" w:rsidR="00FE425C" w:rsidRPr="004E30A9" w:rsidRDefault="00FE425C" w:rsidP="00A26ADD">
      <w:pPr>
        <w:pStyle w:val="ListParagraph"/>
        <w:tabs>
          <w:tab w:val="left" w:pos="284"/>
        </w:tabs>
        <w:spacing w:before="120" w:after="120" w:line="276" w:lineRule="auto"/>
        <w:ind w:left="0" w:firstLine="709"/>
        <w:contextualSpacing w:val="0"/>
        <w:jc w:val="both"/>
        <w:rPr>
          <w:rFonts w:ascii="Times New Roman" w:hAnsi="Times New Roman" w:cs="Times New Roman"/>
          <w:iCs/>
          <w:sz w:val="26"/>
          <w:szCs w:val="26"/>
        </w:rPr>
      </w:pPr>
      <w:r w:rsidRPr="004E30A9">
        <w:rPr>
          <w:rFonts w:ascii="Times New Roman" w:hAnsi="Times New Roman" w:cs="Times New Roman"/>
          <w:iCs/>
          <w:sz w:val="26"/>
          <w:szCs w:val="26"/>
        </w:rPr>
        <w:t>Biện pháp ngăn ngừa khủng hoảng tài chính:</w:t>
      </w:r>
    </w:p>
    <w:p w14:paraId="1C4D034E" w14:textId="77777777" w:rsidR="00FE425C" w:rsidRPr="004E30A9" w:rsidRDefault="00FE425C" w:rsidP="00A26ADD">
      <w:pPr>
        <w:pStyle w:val="ListParagraph"/>
        <w:tabs>
          <w:tab w:val="left" w:pos="284"/>
        </w:tabs>
        <w:spacing w:before="120" w:after="120" w:line="276" w:lineRule="auto"/>
        <w:ind w:left="0" w:firstLine="709"/>
        <w:contextualSpacing w:val="0"/>
        <w:jc w:val="both"/>
        <w:rPr>
          <w:rFonts w:ascii="Times New Roman" w:hAnsi="Times New Roman" w:cs="Times New Roman"/>
          <w:sz w:val="26"/>
          <w:szCs w:val="26"/>
        </w:rPr>
      </w:pPr>
      <w:r w:rsidRPr="004E30A9">
        <w:rPr>
          <w:rFonts w:ascii="Times New Roman" w:hAnsi="Times New Roman" w:cs="Times New Roman"/>
          <w:sz w:val="26"/>
          <w:szCs w:val="26"/>
        </w:rPr>
        <w:t xml:space="preserve">+ Điều kiện: Nếu vụ đổ vỡ ngân hàng có thể gây ảnh hưởng tiêu cực đến việc duy trì trật tự hệ thống tài chính trên toàn quốc hoặc 1 khu vực nhất định tại Nhật Bản, Hội đồng Ứng phó Khủng hoảng Tài chính sẽ quyết định áp dụng biện pháp ứng phó khủng hoảng tài chính. </w:t>
      </w:r>
    </w:p>
    <w:p w14:paraId="518480E1" w14:textId="77777777" w:rsidR="00FE425C" w:rsidRPr="004E30A9" w:rsidRDefault="00FE425C" w:rsidP="00A26ADD">
      <w:pPr>
        <w:pStyle w:val="ListParagraph"/>
        <w:tabs>
          <w:tab w:val="left" w:pos="284"/>
        </w:tabs>
        <w:spacing w:before="120" w:after="120" w:line="276" w:lineRule="auto"/>
        <w:ind w:left="0" w:firstLine="709"/>
        <w:contextualSpacing w:val="0"/>
        <w:jc w:val="both"/>
        <w:rPr>
          <w:rFonts w:ascii="Times New Roman" w:hAnsi="Times New Roman" w:cs="Times New Roman"/>
          <w:sz w:val="26"/>
          <w:szCs w:val="26"/>
        </w:rPr>
      </w:pPr>
      <w:r w:rsidRPr="004E30A9">
        <w:rPr>
          <w:rFonts w:ascii="Times New Roman" w:hAnsi="Times New Roman" w:cs="Times New Roman"/>
          <w:sz w:val="26"/>
          <w:szCs w:val="26"/>
        </w:rPr>
        <w:t>+ Biện pháp xử lý:</w:t>
      </w:r>
    </w:p>
    <w:p w14:paraId="635124C2" w14:textId="77777777" w:rsidR="00FE425C" w:rsidRPr="004E30A9" w:rsidRDefault="00FE425C" w:rsidP="00A26ADD">
      <w:pPr>
        <w:pStyle w:val="ListParagraph"/>
        <w:tabs>
          <w:tab w:val="left" w:pos="284"/>
        </w:tabs>
        <w:spacing w:before="120" w:after="120" w:line="276" w:lineRule="auto"/>
        <w:ind w:left="0"/>
        <w:contextualSpacing w:val="0"/>
        <w:jc w:val="center"/>
        <w:rPr>
          <w:rFonts w:ascii="Times New Roman" w:hAnsi="Times New Roman" w:cs="Times New Roman"/>
          <w:b/>
          <w:bCs/>
          <w:sz w:val="26"/>
          <w:szCs w:val="26"/>
        </w:rPr>
      </w:pPr>
      <w:r w:rsidRPr="004E30A9">
        <w:rPr>
          <w:rFonts w:ascii="Times New Roman" w:hAnsi="Times New Roman" w:cs="Times New Roman"/>
          <w:b/>
          <w:bCs/>
          <w:sz w:val="26"/>
          <w:szCs w:val="26"/>
        </w:rPr>
        <w:t>Tổng quan các biện pháp ngăn ngừa khủng hoảng tài chính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1"/>
        <w:gridCol w:w="2249"/>
        <w:gridCol w:w="5190"/>
      </w:tblGrid>
      <w:tr w:rsidR="004D2F23" w:rsidRPr="00EB6ED7" w14:paraId="452CD312" w14:textId="77777777" w:rsidTr="002D39C7">
        <w:trPr>
          <w:trHeight w:val="219"/>
        </w:trPr>
        <w:tc>
          <w:tcPr>
            <w:tcW w:w="1097" w:type="pct"/>
            <w:shd w:val="clear" w:color="auto" w:fill="FFFFFF"/>
          </w:tcPr>
          <w:p w14:paraId="3AFC0B55" w14:textId="77777777" w:rsidR="00FE425C" w:rsidRPr="004E30A9" w:rsidRDefault="00FE425C" w:rsidP="00A26ADD">
            <w:pPr>
              <w:pStyle w:val="TableParagraph"/>
              <w:spacing w:line="276" w:lineRule="auto"/>
              <w:ind w:right="253" w:hanging="11"/>
              <w:jc w:val="center"/>
              <w:rPr>
                <w:b/>
                <w:bCs/>
                <w:sz w:val="26"/>
                <w:szCs w:val="26"/>
                <w:lang w:val="vi-VN"/>
              </w:rPr>
            </w:pPr>
            <w:r w:rsidRPr="004E30A9">
              <w:rPr>
                <w:b/>
                <w:bCs/>
                <w:sz w:val="26"/>
                <w:szCs w:val="26"/>
                <w:lang w:val="vi-VN"/>
              </w:rPr>
              <w:t>Biện pháp</w:t>
            </w:r>
          </w:p>
        </w:tc>
        <w:tc>
          <w:tcPr>
            <w:tcW w:w="1180" w:type="pct"/>
            <w:shd w:val="clear" w:color="auto" w:fill="FFFFFF"/>
          </w:tcPr>
          <w:p w14:paraId="724B8215" w14:textId="77777777" w:rsidR="00FE425C" w:rsidRPr="004E30A9" w:rsidRDefault="00FE425C" w:rsidP="00A26ADD">
            <w:pPr>
              <w:pStyle w:val="TableParagraph"/>
              <w:spacing w:line="276" w:lineRule="auto"/>
              <w:ind w:right="253" w:hanging="11"/>
              <w:jc w:val="center"/>
              <w:rPr>
                <w:b/>
                <w:bCs/>
                <w:sz w:val="26"/>
                <w:szCs w:val="26"/>
              </w:rPr>
            </w:pPr>
            <w:r w:rsidRPr="004E30A9">
              <w:rPr>
                <w:b/>
                <w:bCs/>
                <w:sz w:val="26"/>
                <w:szCs w:val="26"/>
              </w:rPr>
              <w:t xml:space="preserve">Đối tượng </w:t>
            </w:r>
          </w:p>
          <w:p w14:paraId="55CA6766" w14:textId="77777777" w:rsidR="00FE425C" w:rsidRPr="004E30A9" w:rsidRDefault="00FE425C" w:rsidP="00A26ADD">
            <w:pPr>
              <w:pStyle w:val="TableParagraph"/>
              <w:spacing w:line="276" w:lineRule="auto"/>
              <w:ind w:right="253" w:hanging="11"/>
              <w:jc w:val="center"/>
              <w:rPr>
                <w:b/>
                <w:bCs/>
                <w:sz w:val="26"/>
                <w:szCs w:val="26"/>
              </w:rPr>
            </w:pPr>
            <w:r w:rsidRPr="004E30A9">
              <w:rPr>
                <w:b/>
                <w:bCs/>
                <w:sz w:val="26"/>
                <w:szCs w:val="26"/>
              </w:rPr>
              <w:t>áp dụng*</w:t>
            </w:r>
          </w:p>
        </w:tc>
        <w:tc>
          <w:tcPr>
            <w:tcW w:w="2723" w:type="pct"/>
            <w:shd w:val="clear" w:color="auto" w:fill="FFFFFF"/>
          </w:tcPr>
          <w:p w14:paraId="50ED92FD" w14:textId="77777777" w:rsidR="00FE425C" w:rsidRPr="004E30A9" w:rsidRDefault="00FE425C" w:rsidP="00A26ADD">
            <w:pPr>
              <w:pStyle w:val="TableParagraph"/>
              <w:spacing w:line="276" w:lineRule="auto"/>
              <w:ind w:right="253" w:hanging="11"/>
              <w:jc w:val="center"/>
              <w:rPr>
                <w:b/>
                <w:bCs/>
                <w:sz w:val="26"/>
                <w:szCs w:val="26"/>
              </w:rPr>
            </w:pPr>
            <w:r w:rsidRPr="004E30A9">
              <w:rPr>
                <w:b/>
                <w:bCs/>
                <w:sz w:val="26"/>
                <w:szCs w:val="26"/>
              </w:rPr>
              <w:t>Thông tin chi tiết</w:t>
            </w:r>
          </w:p>
        </w:tc>
      </w:tr>
      <w:tr w:rsidR="004D2F23" w:rsidRPr="00EB6ED7" w14:paraId="7BCBFE1C" w14:textId="77777777" w:rsidTr="002D39C7">
        <w:trPr>
          <w:trHeight w:val="695"/>
        </w:trPr>
        <w:tc>
          <w:tcPr>
            <w:tcW w:w="1097" w:type="pct"/>
            <w:shd w:val="clear" w:color="auto" w:fill="FFFFFF"/>
          </w:tcPr>
          <w:p w14:paraId="63AA273D" w14:textId="77777777" w:rsidR="00FE425C" w:rsidRPr="004E30A9" w:rsidRDefault="00FE425C" w:rsidP="00A26ADD">
            <w:pPr>
              <w:spacing w:after="0" w:line="276" w:lineRule="auto"/>
              <w:ind w:hanging="11"/>
              <w:jc w:val="both"/>
              <w:rPr>
                <w:rFonts w:ascii="Times New Roman" w:hAnsi="Times New Roman" w:cs="Times New Roman"/>
                <w:sz w:val="26"/>
                <w:szCs w:val="26"/>
              </w:rPr>
            </w:pPr>
            <w:r w:rsidRPr="004E30A9">
              <w:rPr>
                <w:rFonts w:ascii="Times New Roman" w:hAnsi="Times New Roman" w:cs="Times New Roman"/>
                <w:sz w:val="26"/>
                <w:szCs w:val="26"/>
              </w:rPr>
              <w:t xml:space="preserve">i) Bơm vốn (Theo điều 102, phần </w:t>
            </w:r>
            <w:r w:rsidRPr="004E30A9">
              <w:rPr>
                <w:rFonts w:ascii="Times New Roman" w:hAnsi="Times New Roman" w:cs="Times New Roman"/>
                <w:sz w:val="26"/>
                <w:szCs w:val="26"/>
              </w:rPr>
              <w:lastRenderedPageBreak/>
              <w:t>(1), mục (i) Luật BHTG)</w:t>
            </w:r>
          </w:p>
        </w:tc>
        <w:tc>
          <w:tcPr>
            <w:tcW w:w="1180" w:type="pct"/>
          </w:tcPr>
          <w:p w14:paraId="11B036DD" w14:textId="77777777" w:rsidR="00FE425C" w:rsidRPr="004E30A9" w:rsidRDefault="00FE425C" w:rsidP="00A26ADD">
            <w:pPr>
              <w:spacing w:after="0" w:line="276" w:lineRule="auto"/>
              <w:ind w:hanging="11"/>
              <w:jc w:val="both"/>
              <w:rPr>
                <w:rFonts w:ascii="Times New Roman" w:hAnsi="Times New Roman" w:cs="Times New Roman"/>
                <w:sz w:val="26"/>
                <w:szCs w:val="26"/>
              </w:rPr>
            </w:pPr>
            <w:r w:rsidRPr="004E30A9">
              <w:rPr>
                <w:rFonts w:ascii="Times New Roman" w:hAnsi="Times New Roman" w:cs="Times New Roman"/>
                <w:sz w:val="26"/>
                <w:szCs w:val="26"/>
              </w:rPr>
              <w:lastRenderedPageBreak/>
              <w:t xml:space="preserve">Đối với với các tổ chức chưa đổ vỡ </w:t>
            </w:r>
            <w:r w:rsidRPr="004E30A9">
              <w:rPr>
                <w:rFonts w:ascii="Times New Roman" w:hAnsi="Times New Roman" w:cs="Times New Roman"/>
                <w:sz w:val="26"/>
                <w:szCs w:val="26"/>
              </w:rPr>
              <w:lastRenderedPageBreak/>
              <w:t>hoặc chưa mất khả năng thanh toán</w:t>
            </w:r>
          </w:p>
        </w:tc>
        <w:tc>
          <w:tcPr>
            <w:tcW w:w="2723" w:type="pct"/>
          </w:tcPr>
          <w:p w14:paraId="30357EBF" w14:textId="77777777" w:rsidR="00FE425C" w:rsidRPr="004E30A9" w:rsidRDefault="00FE425C" w:rsidP="00A26ADD">
            <w:pPr>
              <w:spacing w:after="0" w:line="276" w:lineRule="auto"/>
              <w:ind w:hanging="11"/>
              <w:jc w:val="both"/>
              <w:rPr>
                <w:rFonts w:ascii="Times New Roman" w:hAnsi="Times New Roman" w:cs="Times New Roman"/>
                <w:sz w:val="26"/>
                <w:szCs w:val="26"/>
              </w:rPr>
            </w:pPr>
            <w:r w:rsidRPr="004E30A9">
              <w:rPr>
                <w:rFonts w:ascii="Times New Roman" w:hAnsi="Times New Roman" w:cs="Times New Roman"/>
                <w:sz w:val="26"/>
                <w:szCs w:val="26"/>
              </w:rPr>
              <w:lastRenderedPageBreak/>
              <w:t xml:space="preserve">DICJ tăng cường nền tảng nguồn vốn của tổ chức tài chính được bảo hiểm (trừ những tổ chức </w:t>
            </w:r>
            <w:r w:rsidRPr="004E30A9">
              <w:rPr>
                <w:rFonts w:ascii="Times New Roman" w:hAnsi="Times New Roman" w:cs="Times New Roman"/>
                <w:sz w:val="26"/>
                <w:szCs w:val="26"/>
              </w:rPr>
              <w:lastRenderedPageBreak/>
              <w:t>đổ vỡ hoặc phá sản) bằng cách mua dài hạn cổ phiểu phổ thông, cổ phiếu ưu đãi … và các công cụ huy động vốn khác do các tổ chức tài chính hoặc công ty trực thuộc của tổ chức tài chính phát hành, dựa vào quyết định của Chủ tịch FSA.</w:t>
            </w:r>
          </w:p>
          <w:p w14:paraId="0F4C43A6" w14:textId="77777777" w:rsidR="00FE425C" w:rsidRPr="004E30A9" w:rsidRDefault="00FE425C" w:rsidP="00A26ADD">
            <w:pPr>
              <w:spacing w:after="0" w:line="276" w:lineRule="auto"/>
              <w:ind w:hanging="11"/>
              <w:jc w:val="both"/>
              <w:rPr>
                <w:rFonts w:ascii="Times New Roman" w:hAnsi="Times New Roman" w:cs="Times New Roman"/>
                <w:sz w:val="26"/>
                <w:szCs w:val="26"/>
              </w:rPr>
            </w:pPr>
            <w:r w:rsidRPr="004E30A9">
              <w:rPr>
                <w:rFonts w:ascii="Times New Roman" w:hAnsi="Times New Roman" w:cs="Times New Roman"/>
                <w:sz w:val="26"/>
                <w:szCs w:val="26"/>
              </w:rPr>
              <w:t>Trong trường hợp tổ chức tài chính được bảo hiểm là ngân hàng Lao động hoặc Ngân hàng Rokinren, cần có các quyết định của cố vấn FSA, và Bộ trưởng bộ Y tế, Lao động và Phúc lợi; trong trường hợp Ngân hàng Shoko Chukin, cần có quyết định của Chủ tịch FSA, Bộ trưởng Bộ Tài chính, Bộ trưởng bộ Kinh tế, Thương mại và Công Nghiệp.</w:t>
            </w:r>
          </w:p>
        </w:tc>
      </w:tr>
      <w:tr w:rsidR="004D2F23" w:rsidRPr="00EB6ED7" w14:paraId="0C8E9E07" w14:textId="77777777" w:rsidTr="002D39C7">
        <w:trPr>
          <w:trHeight w:val="708"/>
        </w:trPr>
        <w:tc>
          <w:tcPr>
            <w:tcW w:w="1097" w:type="pct"/>
            <w:shd w:val="clear" w:color="auto" w:fill="FFFFFF"/>
          </w:tcPr>
          <w:p w14:paraId="5BE06AF6" w14:textId="77777777" w:rsidR="00FE425C" w:rsidRPr="004E30A9" w:rsidRDefault="00FE425C" w:rsidP="00A26ADD">
            <w:pPr>
              <w:spacing w:after="0" w:line="276" w:lineRule="auto"/>
              <w:ind w:hanging="11"/>
              <w:jc w:val="both"/>
              <w:rPr>
                <w:rFonts w:ascii="Times New Roman" w:hAnsi="Times New Roman" w:cs="Times New Roman"/>
                <w:sz w:val="26"/>
                <w:szCs w:val="26"/>
              </w:rPr>
            </w:pPr>
            <w:r w:rsidRPr="004E30A9">
              <w:rPr>
                <w:rFonts w:ascii="Times New Roman" w:hAnsi="Times New Roman" w:cs="Times New Roman"/>
                <w:sz w:val="26"/>
                <w:szCs w:val="26"/>
              </w:rPr>
              <w:lastRenderedPageBreak/>
              <w:t>ii) Hỗ trợ tài chính với số tiền hỗ trợ vượt chi phí chi trả bảo hiểm (Theo điều 102, phần (1), mục (ii) Luật BHTG)</w:t>
            </w:r>
          </w:p>
        </w:tc>
        <w:tc>
          <w:tcPr>
            <w:tcW w:w="1180" w:type="pct"/>
          </w:tcPr>
          <w:p w14:paraId="4B7443B2" w14:textId="77777777" w:rsidR="00FE425C" w:rsidRPr="004E30A9" w:rsidRDefault="00FE425C" w:rsidP="00A26ADD">
            <w:pPr>
              <w:spacing w:after="0" w:line="276" w:lineRule="auto"/>
              <w:ind w:hanging="11"/>
              <w:jc w:val="both"/>
              <w:rPr>
                <w:rFonts w:ascii="Times New Roman" w:hAnsi="Times New Roman" w:cs="Times New Roman"/>
                <w:sz w:val="26"/>
                <w:szCs w:val="26"/>
              </w:rPr>
            </w:pPr>
            <w:r w:rsidRPr="004E30A9">
              <w:rPr>
                <w:rFonts w:ascii="Times New Roman" w:hAnsi="Times New Roman" w:cs="Times New Roman"/>
                <w:sz w:val="26"/>
                <w:szCs w:val="26"/>
              </w:rPr>
              <w:t>Đối với tổ chức đổ vỡ hoặc mất khả năng thanh toán</w:t>
            </w:r>
          </w:p>
        </w:tc>
        <w:tc>
          <w:tcPr>
            <w:tcW w:w="2723" w:type="pct"/>
          </w:tcPr>
          <w:p w14:paraId="4655E5D2" w14:textId="77777777" w:rsidR="00FE425C" w:rsidRPr="004E30A9" w:rsidRDefault="00FE425C" w:rsidP="00A26ADD">
            <w:pPr>
              <w:spacing w:after="0" w:line="276" w:lineRule="auto"/>
              <w:ind w:hanging="11"/>
              <w:jc w:val="both"/>
              <w:rPr>
                <w:rFonts w:ascii="Times New Roman" w:hAnsi="Times New Roman" w:cs="Times New Roman"/>
                <w:sz w:val="26"/>
                <w:szCs w:val="26"/>
              </w:rPr>
            </w:pPr>
            <w:r w:rsidRPr="004E30A9">
              <w:rPr>
                <w:rFonts w:ascii="Times New Roman" w:hAnsi="Times New Roman" w:cs="Times New Roman"/>
                <w:sz w:val="26"/>
                <w:szCs w:val="26"/>
              </w:rPr>
              <w:t xml:space="preserve">Trong trường hợp tổ chức tài chính được bảo hiểm đổ vỡ hoặc phá sản, DICJ có thể hỗ trợ tài chính với chi phí không vượt quá chi phí trả tiền bảo hiểm cho một tổ chức tài chính tiếp nhận hoặc sát nhập. Điều này giúp DICJ có thể bảo vệ toàn bộ tiền gửi và các yêu cầu bảo hiểm khác. </w:t>
            </w:r>
          </w:p>
          <w:p w14:paraId="685E812E" w14:textId="77777777" w:rsidR="00FE425C" w:rsidRPr="004E30A9" w:rsidRDefault="00FE425C" w:rsidP="00A26ADD">
            <w:pPr>
              <w:spacing w:after="0" w:line="276" w:lineRule="auto"/>
              <w:ind w:hanging="11"/>
              <w:jc w:val="both"/>
              <w:rPr>
                <w:rFonts w:ascii="Times New Roman" w:hAnsi="Times New Roman" w:cs="Times New Roman"/>
                <w:sz w:val="26"/>
                <w:szCs w:val="26"/>
              </w:rPr>
            </w:pPr>
            <w:r w:rsidRPr="004E30A9">
              <w:rPr>
                <w:rFonts w:ascii="Times New Roman" w:hAnsi="Times New Roman" w:cs="Times New Roman"/>
                <w:sz w:val="26"/>
                <w:szCs w:val="26"/>
              </w:rPr>
              <w:t>Khi biện pháp này được thực hiện, Chủ tịch FSA sẽ tiến hành quản lý chuyển nhượng theo trình tự.</w:t>
            </w:r>
          </w:p>
        </w:tc>
      </w:tr>
      <w:tr w:rsidR="004D2F23" w:rsidRPr="00EB6ED7" w14:paraId="4FC85A53" w14:textId="77777777" w:rsidTr="002D39C7">
        <w:trPr>
          <w:trHeight w:val="950"/>
        </w:trPr>
        <w:tc>
          <w:tcPr>
            <w:tcW w:w="1097" w:type="pct"/>
            <w:shd w:val="clear" w:color="auto" w:fill="FFFFFF"/>
          </w:tcPr>
          <w:p w14:paraId="56511DA0" w14:textId="77777777" w:rsidR="00FE425C" w:rsidRPr="004E30A9" w:rsidRDefault="00FE425C" w:rsidP="00A26ADD">
            <w:pPr>
              <w:spacing w:after="0" w:line="276" w:lineRule="auto"/>
              <w:ind w:hanging="11"/>
              <w:jc w:val="both"/>
              <w:rPr>
                <w:rFonts w:ascii="Times New Roman" w:hAnsi="Times New Roman" w:cs="Times New Roman"/>
                <w:sz w:val="26"/>
                <w:szCs w:val="26"/>
              </w:rPr>
            </w:pPr>
            <w:r w:rsidRPr="004E30A9">
              <w:rPr>
                <w:rFonts w:ascii="Times New Roman" w:hAnsi="Times New Roman" w:cs="Times New Roman"/>
                <w:sz w:val="26"/>
                <w:szCs w:val="26"/>
              </w:rPr>
              <w:t>iii) Quản lý khủng hoảng đặc biệt (Theo điều 102, phần (1), mục (iii) Luật BHTG)</w:t>
            </w:r>
          </w:p>
        </w:tc>
        <w:tc>
          <w:tcPr>
            <w:tcW w:w="1180" w:type="pct"/>
          </w:tcPr>
          <w:p w14:paraId="00EA6DFA" w14:textId="77777777" w:rsidR="00FE425C" w:rsidRPr="004E30A9" w:rsidRDefault="00FE425C" w:rsidP="00A26ADD">
            <w:pPr>
              <w:spacing w:after="0" w:line="276" w:lineRule="auto"/>
              <w:ind w:hanging="11"/>
              <w:jc w:val="both"/>
              <w:rPr>
                <w:rFonts w:ascii="Times New Roman" w:hAnsi="Times New Roman" w:cs="Times New Roman"/>
                <w:sz w:val="26"/>
                <w:szCs w:val="26"/>
              </w:rPr>
            </w:pPr>
            <w:r w:rsidRPr="004E30A9">
              <w:rPr>
                <w:rFonts w:ascii="Times New Roman" w:hAnsi="Times New Roman" w:cs="Times New Roman"/>
                <w:sz w:val="26"/>
                <w:szCs w:val="26"/>
              </w:rPr>
              <w:t>Đối với tổ chức đổ vỡ là các ngân hàng mất khả năng thanh toán</w:t>
            </w:r>
          </w:p>
        </w:tc>
        <w:tc>
          <w:tcPr>
            <w:tcW w:w="2723" w:type="pct"/>
          </w:tcPr>
          <w:p w14:paraId="3C89C40C" w14:textId="77777777" w:rsidR="00FE425C" w:rsidRPr="004E30A9" w:rsidRDefault="00FE425C" w:rsidP="00A26ADD">
            <w:pPr>
              <w:spacing w:after="0" w:line="276" w:lineRule="auto"/>
              <w:ind w:hanging="11"/>
              <w:jc w:val="both"/>
              <w:rPr>
                <w:rFonts w:ascii="Times New Roman" w:hAnsi="Times New Roman" w:cs="Times New Roman"/>
                <w:sz w:val="26"/>
                <w:szCs w:val="26"/>
              </w:rPr>
            </w:pPr>
            <w:r w:rsidRPr="004E30A9">
              <w:rPr>
                <w:rFonts w:ascii="Times New Roman" w:hAnsi="Times New Roman" w:cs="Times New Roman"/>
                <w:sz w:val="26"/>
                <w:szCs w:val="26"/>
              </w:rPr>
              <w:t>Quản lý khủng hoảng đặc biện có thể được thực hiện trong trường hợp tổ chức tài chính được bảo hiểm đổ vỡ là một tổ chức mất khả năng chi trả và khi thực hiện hỗ trợ tài chính không vượt quá chi phí chi trả bảo hiểm tiền gửi, tổ chức đó vẫn không có khả năng duy trì hệ thống tín dụng theo trật tự tài Nhật Bản hoặc một khu vực tại Nhật nơi ngân hàng được bảo hiểm đó hoạt động kinh doanh.</w:t>
            </w:r>
          </w:p>
          <w:p w14:paraId="0C32CAFE" w14:textId="77777777" w:rsidR="00FE425C" w:rsidRPr="004E30A9" w:rsidRDefault="00FE425C" w:rsidP="00A26ADD">
            <w:pPr>
              <w:spacing w:after="0" w:line="276" w:lineRule="auto"/>
              <w:ind w:hanging="11"/>
              <w:jc w:val="both"/>
              <w:rPr>
                <w:rFonts w:ascii="Times New Roman" w:hAnsi="Times New Roman" w:cs="Times New Roman"/>
                <w:sz w:val="26"/>
                <w:szCs w:val="26"/>
              </w:rPr>
            </w:pPr>
            <w:r w:rsidRPr="004E30A9">
              <w:rPr>
                <w:rFonts w:ascii="Times New Roman" w:hAnsi="Times New Roman" w:cs="Times New Roman"/>
                <w:sz w:val="26"/>
                <w:szCs w:val="26"/>
              </w:rPr>
              <w:t xml:space="preserve">Khi thực hiện quản lý khủng hoảng đặc biệt, DICJ tiếp nhận cổ phẩn của ngân hàng được bảo hiểm dựa trên quyết định của Chủ tịch FSA, và bổ nhiệm giám đốc, kiểm toán và cán bộ của ngân hàng được Chủ tịch FSA đề cử. Bên cạnh đó, DICJ thực hiện hỗ trợ tài chính cho các ngân hàng được bảo hiểm nhưng không tính vào chi phí chi trả bảo hiểm tiền gửi. Điều này cho phép </w:t>
            </w:r>
            <w:r w:rsidRPr="004E30A9">
              <w:rPr>
                <w:rFonts w:ascii="Times New Roman" w:hAnsi="Times New Roman" w:cs="Times New Roman"/>
                <w:sz w:val="26"/>
                <w:szCs w:val="26"/>
              </w:rPr>
              <w:lastRenderedPageBreak/>
              <w:t>DICJ bảo vệ toàn bộ tiền gửi và các yêu cầu khác.</w:t>
            </w:r>
          </w:p>
          <w:p w14:paraId="13A22DEB" w14:textId="77777777" w:rsidR="00FE425C" w:rsidRPr="004E30A9" w:rsidRDefault="00FE425C" w:rsidP="00A26ADD">
            <w:pPr>
              <w:spacing w:after="0" w:line="276" w:lineRule="auto"/>
              <w:ind w:hanging="11"/>
              <w:jc w:val="both"/>
              <w:rPr>
                <w:rFonts w:ascii="Times New Roman" w:hAnsi="Times New Roman" w:cs="Times New Roman"/>
                <w:sz w:val="26"/>
                <w:szCs w:val="26"/>
              </w:rPr>
            </w:pPr>
            <w:r w:rsidRPr="004E30A9">
              <w:rPr>
                <w:rFonts w:ascii="Times New Roman" w:hAnsi="Times New Roman" w:cs="Times New Roman"/>
                <w:sz w:val="26"/>
                <w:szCs w:val="26"/>
              </w:rPr>
              <w:t xml:space="preserve">DICJ quy định việc quản lý khủng hoảng đặc biệt nên chấm dứt càng sớm càng tốt bằng cách thực hiện sát nhập, chuyển giao kinh doanh, xử lý cổ phiếu hoặc chia tách công ty. </w:t>
            </w:r>
          </w:p>
        </w:tc>
      </w:tr>
    </w:tbl>
    <w:p w14:paraId="543E06B5" w14:textId="77777777" w:rsidR="00FE425C" w:rsidRPr="004E30A9" w:rsidRDefault="00FE425C" w:rsidP="00A26ADD">
      <w:pPr>
        <w:pStyle w:val="ListParagraph"/>
        <w:tabs>
          <w:tab w:val="left" w:pos="284"/>
        </w:tabs>
        <w:spacing w:after="120" w:line="276" w:lineRule="auto"/>
        <w:ind w:left="0"/>
        <w:contextualSpacing w:val="0"/>
        <w:jc w:val="both"/>
        <w:rPr>
          <w:rFonts w:ascii="Times New Roman" w:hAnsi="Times New Roman" w:cs="Times New Roman"/>
          <w:sz w:val="26"/>
          <w:szCs w:val="26"/>
        </w:rPr>
      </w:pPr>
      <w:r w:rsidRPr="004E30A9">
        <w:rPr>
          <w:rFonts w:ascii="Times New Roman" w:hAnsi="Times New Roman" w:cs="Times New Roman"/>
          <w:i/>
          <w:iCs/>
          <w:sz w:val="26"/>
          <w:szCs w:val="26"/>
        </w:rPr>
        <w:lastRenderedPageBreak/>
        <w:t>(* Chỉ áp dụng với các tổ chức tài chính nhận tiền gửi )</w:t>
      </w:r>
    </w:p>
    <w:p w14:paraId="6A941E73" w14:textId="77777777" w:rsidR="00FE425C" w:rsidRPr="004E30A9" w:rsidRDefault="00FE425C" w:rsidP="00A26ADD">
      <w:pPr>
        <w:pStyle w:val="ListParagraph"/>
        <w:tabs>
          <w:tab w:val="left" w:pos="284"/>
        </w:tabs>
        <w:spacing w:before="120" w:after="120" w:line="276" w:lineRule="auto"/>
        <w:ind w:left="0" w:firstLine="709"/>
        <w:contextualSpacing w:val="0"/>
        <w:jc w:val="both"/>
        <w:rPr>
          <w:rFonts w:ascii="Times New Roman" w:hAnsi="Times New Roman" w:cs="Times New Roman"/>
          <w:sz w:val="26"/>
          <w:szCs w:val="26"/>
        </w:rPr>
      </w:pPr>
      <w:r w:rsidRPr="004E30A9">
        <w:rPr>
          <w:rFonts w:ascii="Times New Roman" w:hAnsi="Times New Roman" w:cs="Times New Roman"/>
          <w:sz w:val="26"/>
          <w:szCs w:val="26"/>
        </w:rPr>
        <w:t>+ Chi phí xử lý: Phần chi phí vượt quá chi phí chi trả được chia sẻ với các tổ chức tài chính nhận tiền gửi, có thể bằng cách thu phí bổ sung.</w:t>
      </w:r>
    </w:p>
    <w:p w14:paraId="4F6113AB" w14:textId="77777777" w:rsidR="00FE425C" w:rsidRPr="004E30A9" w:rsidRDefault="00FE425C" w:rsidP="00A26ADD">
      <w:pPr>
        <w:pStyle w:val="ListParagraph"/>
        <w:tabs>
          <w:tab w:val="left" w:pos="284"/>
        </w:tabs>
        <w:spacing w:before="120" w:after="120" w:line="276" w:lineRule="auto"/>
        <w:ind w:left="0" w:firstLine="709"/>
        <w:contextualSpacing w:val="0"/>
        <w:jc w:val="both"/>
        <w:rPr>
          <w:rFonts w:ascii="Times New Roman" w:hAnsi="Times New Roman" w:cs="Times New Roman"/>
          <w:i/>
          <w:iCs/>
          <w:sz w:val="26"/>
          <w:szCs w:val="26"/>
        </w:rPr>
      </w:pPr>
      <w:r w:rsidRPr="004E30A9">
        <w:rPr>
          <w:rFonts w:ascii="Times New Roman" w:hAnsi="Times New Roman" w:cs="Times New Roman"/>
          <w:i/>
          <w:iCs/>
          <w:sz w:val="26"/>
          <w:szCs w:val="26"/>
        </w:rPr>
        <w:t>- Biện pháp xử lý theo trật tự:</w:t>
      </w:r>
    </w:p>
    <w:p w14:paraId="5A3C648E" w14:textId="77777777" w:rsidR="00FE425C" w:rsidRPr="004E30A9" w:rsidRDefault="00FE425C" w:rsidP="00A26ADD">
      <w:pPr>
        <w:pStyle w:val="ListParagraph"/>
        <w:tabs>
          <w:tab w:val="left" w:pos="284"/>
        </w:tabs>
        <w:spacing w:before="120" w:after="120" w:line="276" w:lineRule="auto"/>
        <w:ind w:left="0" w:firstLine="709"/>
        <w:contextualSpacing w:val="0"/>
        <w:jc w:val="both"/>
        <w:rPr>
          <w:rFonts w:ascii="Times New Roman" w:hAnsi="Times New Roman" w:cs="Times New Roman"/>
          <w:sz w:val="26"/>
          <w:szCs w:val="26"/>
        </w:rPr>
      </w:pPr>
      <w:r w:rsidRPr="004E30A9">
        <w:rPr>
          <w:rFonts w:ascii="Times New Roman" w:hAnsi="Times New Roman" w:cs="Times New Roman"/>
          <w:sz w:val="26"/>
          <w:szCs w:val="26"/>
        </w:rPr>
        <w:t>+ Điều kiện: Nếu vụ đổ vỡ có nguy cơ gây bất ổn nghiêm trọng đối với tới thị trường tài chính Nhật Bản hoặc thị trường tài chính khác, Hội đồng Ứng phó Khủng hoảng Tài chính sẽ quyết định áp dụng biện pháp xử lý theo trật tự.</w:t>
      </w:r>
    </w:p>
    <w:p w14:paraId="59EA88D5" w14:textId="77777777" w:rsidR="00FE425C" w:rsidRPr="004E30A9" w:rsidRDefault="00FE425C" w:rsidP="00A26ADD">
      <w:pPr>
        <w:pStyle w:val="ListParagraph"/>
        <w:tabs>
          <w:tab w:val="left" w:pos="284"/>
        </w:tabs>
        <w:spacing w:after="120" w:line="276" w:lineRule="auto"/>
        <w:ind w:left="0"/>
        <w:contextualSpacing w:val="0"/>
        <w:jc w:val="center"/>
        <w:rPr>
          <w:rFonts w:ascii="Times New Roman" w:hAnsi="Times New Roman" w:cs="Times New Roman"/>
          <w:b/>
          <w:bCs/>
          <w:sz w:val="26"/>
          <w:szCs w:val="26"/>
        </w:rPr>
      </w:pPr>
      <w:r w:rsidRPr="004E30A9">
        <w:rPr>
          <w:rFonts w:ascii="Times New Roman" w:hAnsi="Times New Roman" w:cs="Times New Roman"/>
          <w:b/>
          <w:bCs/>
          <w:sz w:val="26"/>
          <w:szCs w:val="26"/>
        </w:rPr>
        <w:t>Tổng quan các biện pháp xử lý theo trật tự</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0"/>
        <w:gridCol w:w="2268"/>
        <w:gridCol w:w="4768"/>
      </w:tblGrid>
      <w:tr w:rsidR="004D2F23" w:rsidRPr="00EB6ED7" w14:paraId="063267D6" w14:textId="77777777" w:rsidTr="002D39C7">
        <w:tc>
          <w:tcPr>
            <w:tcW w:w="1980" w:type="dxa"/>
            <w:shd w:val="clear" w:color="auto" w:fill="auto"/>
          </w:tcPr>
          <w:p w14:paraId="159026C7" w14:textId="77777777" w:rsidR="00FE425C" w:rsidRPr="004E30A9" w:rsidRDefault="00FE425C" w:rsidP="00A26ADD">
            <w:pPr>
              <w:pStyle w:val="ListParagraph"/>
              <w:tabs>
                <w:tab w:val="left" w:pos="284"/>
              </w:tabs>
              <w:spacing w:line="276" w:lineRule="auto"/>
              <w:ind w:left="0"/>
              <w:contextualSpacing w:val="0"/>
              <w:jc w:val="center"/>
              <w:rPr>
                <w:rFonts w:ascii="Times New Roman" w:hAnsi="Times New Roman" w:cs="Times New Roman"/>
                <w:b/>
                <w:bCs/>
                <w:sz w:val="26"/>
                <w:szCs w:val="26"/>
              </w:rPr>
            </w:pPr>
            <w:r w:rsidRPr="004E30A9">
              <w:rPr>
                <w:rFonts w:ascii="Times New Roman" w:hAnsi="Times New Roman" w:cs="Times New Roman"/>
                <w:b/>
                <w:bCs/>
                <w:sz w:val="26"/>
                <w:szCs w:val="26"/>
              </w:rPr>
              <w:t>Biện pháp</w:t>
            </w:r>
          </w:p>
        </w:tc>
        <w:tc>
          <w:tcPr>
            <w:tcW w:w="2268" w:type="dxa"/>
            <w:shd w:val="clear" w:color="auto" w:fill="auto"/>
          </w:tcPr>
          <w:p w14:paraId="562C5A23" w14:textId="77777777" w:rsidR="00FE425C" w:rsidRPr="004E30A9" w:rsidRDefault="00FE425C" w:rsidP="00A26ADD">
            <w:pPr>
              <w:pStyle w:val="ListParagraph"/>
              <w:tabs>
                <w:tab w:val="left" w:pos="284"/>
              </w:tabs>
              <w:spacing w:line="276" w:lineRule="auto"/>
              <w:ind w:left="0"/>
              <w:contextualSpacing w:val="0"/>
              <w:jc w:val="center"/>
              <w:rPr>
                <w:rFonts w:ascii="Times New Roman" w:hAnsi="Times New Roman" w:cs="Times New Roman"/>
                <w:b/>
                <w:bCs/>
                <w:sz w:val="26"/>
                <w:szCs w:val="26"/>
              </w:rPr>
            </w:pPr>
            <w:r w:rsidRPr="004E30A9">
              <w:rPr>
                <w:rFonts w:ascii="Times New Roman" w:hAnsi="Times New Roman" w:cs="Times New Roman"/>
                <w:b/>
                <w:bCs/>
                <w:sz w:val="26"/>
                <w:szCs w:val="26"/>
              </w:rPr>
              <w:t xml:space="preserve">Đối tượng </w:t>
            </w:r>
          </w:p>
          <w:p w14:paraId="7E8AD33E" w14:textId="77777777" w:rsidR="00FE425C" w:rsidRPr="004E30A9" w:rsidRDefault="00FE425C" w:rsidP="00A26ADD">
            <w:pPr>
              <w:pStyle w:val="ListParagraph"/>
              <w:tabs>
                <w:tab w:val="left" w:pos="284"/>
              </w:tabs>
              <w:spacing w:line="276" w:lineRule="auto"/>
              <w:ind w:left="0"/>
              <w:contextualSpacing w:val="0"/>
              <w:jc w:val="center"/>
              <w:rPr>
                <w:rFonts w:ascii="Times New Roman" w:hAnsi="Times New Roman" w:cs="Times New Roman"/>
                <w:b/>
                <w:bCs/>
                <w:sz w:val="26"/>
                <w:szCs w:val="26"/>
              </w:rPr>
            </w:pPr>
            <w:r w:rsidRPr="004E30A9">
              <w:rPr>
                <w:rFonts w:ascii="Times New Roman" w:hAnsi="Times New Roman" w:cs="Times New Roman"/>
                <w:b/>
                <w:bCs/>
                <w:sz w:val="26"/>
                <w:szCs w:val="26"/>
              </w:rPr>
              <w:t>áp dụng</w:t>
            </w:r>
            <w:r w:rsidRPr="004E30A9">
              <w:rPr>
                <w:rFonts w:ascii="Times New Roman" w:hAnsi="Times New Roman" w:cs="Times New Roman"/>
                <w:b/>
                <w:bCs/>
                <w:sz w:val="26"/>
                <w:szCs w:val="26"/>
              </w:rPr>
              <w:footnoteReference w:id="12"/>
            </w:r>
          </w:p>
        </w:tc>
        <w:tc>
          <w:tcPr>
            <w:tcW w:w="4768" w:type="dxa"/>
            <w:shd w:val="clear" w:color="auto" w:fill="auto"/>
          </w:tcPr>
          <w:p w14:paraId="2ED6EC42" w14:textId="77777777" w:rsidR="00FE425C" w:rsidRPr="004E30A9" w:rsidRDefault="00FE425C" w:rsidP="00A26ADD">
            <w:pPr>
              <w:pStyle w:val="ListParagraph"/>
              <w:tabs>
                <w:tab w:val="left" w:pos="284"/>
              </w:tabs>
              <w:spacing w:line="276" w:lineRule="auto"/>
              <w:ind w:left="0"/>
              <w:contextualSpacing w:val="0"/>
              <w:jc w:val="center"/>
              <w:rPr>
                <w:rFonts w:ascii="Times New Roman" w:hAnsi="Times New Roman" w:cs="Times New Roman"/>
                <w:b/>
                <w:bCs/>
                <w:sz w:val="26"/>
                <w:szCs w:val="26"/>
              </w:rPr>
            </w:pPr>
            <w:r w:rsidRPr="004E30A9">
              <w:rPr>
                <w:rFonts w:ascii="Times New Roman" w:hAnsi="Times New Roman" w:cs="Times New Roman"/>
                <w:b/>
                <w:bCs/>
                <w:sz w:val="26"/>
                <w:szCs w:val="26"/>
              </w:rPr>
              <w:t>Thông tin chi tiết</w:t>
            </w:r>
          </w:p>
        </w:tc>
      </w:tr>
      <w:tr w:rsidR="004D2F23" w:rsidRPr="00EB6ED7" w14:paraId="3BDBA63E" w14:textId="77777777" w:rsidTr="002D39C7">
        <w:tc>
          <w:tcPr>
            <w:tcW w:w="1980" w:type="dxa"/>
            <w:shd w:val="clear" w:color="auto" w:fill="auto"/>
          </w:tcPr>
          <w:p w14:paraId="56C637A2" w14:textId="77777777" w:rsidR="00FE425C" w:rsidRPr="004E30A9" w:rsidRDefault="00FE425C" w:rsidP="00A26ADD">
            <w:pPr>
              <w:spacing w:after="0" w:line="276" w:lineRule="auto"/>
              <w:ind w:hanging="11"/>
              <w:jc w:val="both"/>
              <w:rPr>
                <w:rFonts w:ascii="Times New Roman" w:hAnsi="Times New Roman" w:cs="Times New Roman"/>
                <w:sz w:val="26"/>
                <w:szCs w:val="26"/>
                <w:lang w:val="vi-VN"/>
              </w:rPr>
            </w:pPr>
            <w:r w:rsidRPr="004E30A9">
              <w:rPr>
                <w:rFonts w:ascii="Times New Roman" w:hAnsi="Times New Roman" w:cs="Times New Roman"/>
                <w:sz w:val="26"/>
                <w:szCs w:val="26"/>
                <w:lang w:val="vi-VN"/>
              </w:rPr>
              <w:t xml:space="preserve">(i) </w:t>
            </w:r>
            <w:r w:rsidRPr="004E30A9">
              <w:rPr>
                <w:rFonts w:ascii="Times New Roman" w:hAnsi="Times New Roman" w:cs="Times New Roman"/>
                <w:sz w:val="26"/>
                <w:szCs w:val="26"/>
              </w:rPr>
              <w:t xml:space="preserve">Hỗ trợ </w:t>
            </w:r>
            <w:r w:rsidRPr="004E30A9">
              <w:rPr>
                <w:rFonts w:ascii="Times New Roman" w:hAnsi="Times New Roman" w:cs="Times New Roman"/>
                <w:sz w:val="26"/>
                <w:szCs w:val="26"/>
                <w:lang w:val="vi-VN"/>
              </w:rPr>
              <w:t>thanh khoản/ bơm vốn</w:t>
            </w:r>
          </w:p>
          <w:p w14:paraId="0D513937" w14:textId="77777777" w:rsidR="00FE425C" w:rsidRPr="004E30A9" w:rsidRDefault="00FE425C" w:rsidP="00A26ADD">
            <w:pPr>
              <w:pStyle w:val="ListParagraph"/>
              <w:tabs>
                <w:tab w:val="left" w:pos="284"/>
              </w:tabs>
              <w:spacing w:line="276" w:lineRule="auto"/>
              <w:ind w:left="0"/>
              <w:contextualSpacing w:val="0"/>
              <w:jc w:val="both"/>
              <w:rPr>
                <w:rFonts w:ascii="Times New Roman" w:hAnsi="Times New Roman" w:cs="Times New Roman"/>
                <w:sz w:val="26"/>
                <w:szCs w:val="26"/>
              </w:rPr>
            </w:pPr>
            <w:r w:rsidRPr="004E30A9">
              <w:rPr>
                <w:rFonts w:ascii="Times New Roman" w:hAnsi="Times New Roman" w:cs="Times New Roman"/>
                <w:sz w:val="26"/>
                <w:szCs w:val="26"/>
                <w:lang w:val="vi-VN"/>
              </w:rPr>
              <w:t>(Điều 126-2, Khoản (1), Mục (i) của Luật Bảo hiểm tiền gửi)</w:t>
            </w:r>
          </w:p>
        </w:tc>
        <w:tc>
          <w:tcPr>
            <w:tcW w:w="2268" w:type="dxa"/>
            <w:shd w:val="clear" w:color="auto" w:fill="auto"/>
          </w:tcPr>
          <w:p w14:paraId="000CB406" w14:textId="77777777" w:rsidR="00FE425C" w:rsidRPr="004E30A9" w:rsidRDefault="00FE425C" w:rsidP="00A26ADD">
            <w:pPr>
              <w:pStyle w:val="ListParagraph"/>
              <w:tabs>
                <w:tab w:val="left" w:pos="284"/>
              </w:tabs>
              <w:spacing w:line="276" w:lineRule="auto"/>
              <w:ind w:left="0"/>
              <w:contextualSpacing w:val="0"/>
              <w:jc w:val="both"/>
              <w:rPr>
                <w:rFonts w:ascii="Times New Roman" w:hAnsi="Times New Roman" w:cs="Times New Roman"/>
                <w:sz w:val="26"/>
                <w:szCs w:val="26"/>
              </w:rPr>
            </w:pPr>
            <w:r w:rsidRPr="004E30A9">
              <w:rPr>
                <w:rFonts w:ascii="Times New Roman" w:hAnsi="Times New Roman" w:cs="Times New Roman"/>
                <w:sz w:val="26"/>
                <w:szCs w:val="26"/>
                <w:lang w:val="vi-VN"/>
              </w:rPr>
              <w:t>Các tổ chức tài chính đổ vỡ, hoặc có khả năng đổ vỡ</w:t>
            </w:r>
          </w:p>
        </w:tc>
        <w:tc>
          <w:tcPr>
            <w:tcW w:w="4768" w:type="dxa"/>
            <w:shd w:val="clear" w:color="auto" w:fill="auto"/>
          </w:tcPr>
          <w:p w14:paraId="0262F0C6" w14:textId="77777777" w:rsidR="00FE425C" w:rsidRPr="004E30A9" w:rsidRDefault="00FE425C" w:rsidP="00A26ADD">
            <w:pPr>
              <w:spacing w:after="0" w:line="276" w:lineRule="auto"/>
              <w:ind w:hanging="11"/>
              <w:jc w:val="both"/>
              <w:rPr>
                <w:rFonts w:ascii="Times New Roman" w:hAnsi="Times New Roman" w:cs="Times New Roman"/>
                <w:sz w:val="26"/>
                <w:szCs w:val="26"/>
              </w:rPr>
            </w:pPr>
            <w:r w:rsidRPr="004E30A9">
              <w:rPr>
                <w:rFonts w:ascii="Times New Roman" w:hAnsi="Times New Roman" w:cs="Times New Roman"/>
                <w:sz w:val="26"/>
                <w:szCs w:val="26"/>
              </w:rPr>
              <w:t>Khi một tổ chức tài chính, v.v. vẫn còn khả năng chi trả nhưng có thể sẽ gây gián đoạn nghiêm trọng đến hệ thống tài chính khi bị cạn kiệt thanh khoản, v.v., DICJ sẽ đặt tổ chức dưới sự giám sát của DICJ, cung cấp thanh khoản, ngăn chặn đổ vỡ và cắt giảm các giao dịch có tầm ảnh hưởng hệ thống của tổ chức này.</w:t>
            </w:r>
          </w:p>
          <w:p w14:paraId="28BB7DF3" w14:textId="77777777" w:rsidR="00FE425C" w:rsidRPr="004E30A9" w:rsidRDefault="00FE425C" w:rsidP="00A26ADD">
            <w:pPr>
              <w:spacing w:after="0" w:line="276" w:lineRule="auto"/>
              <w:ind w:hanging="11"/>
              <w:jc w:val="both"/>
              <w:rPr>
                <w:rFonts w:ascii="Times New Roman" w:hAnsi="Times New Roman" w:cs="Times New Roman"/>
                <w:sz w:val="26"/>
                <w:szCs w:val="26"/>
              </w:rPr>
            </w:pPr>
            <w:r w:rsidRPr="004E30A9">
              <w:rPr>
                <w:rFonts w:ascii="Times New Roman" w:hAnsi="Times New Roman" w:cs="Times New Roman"/>
                <w:sz w:val="26"/>
                <w:szCs w:val="26"/>
              </w:rPr>
              <w:t>DICJ tăng cường vốn của tổ chức tài chính, v.v. (ngoại trừ các tổ chức bị mất khả năng chi trả hoặc những tổ chức đã dừng nghĩa vụ thanh toán) bằng cách đăng ký mua cổ phần, v.v. (cổ phần, trái phiếu thứ cấp, v.v.) và các công cụ huy động vốn khác mà tổ chức đó phát hành, dựa trên quyết định của Ủy viên FSA (phụ thuộc vào sự đồng ý của Bộ trưởng Tài chính).</w:t>
            </w:r>
          </w:p>
        </w:tc>
      </w:tr>
      <w:tr w:rsidR="004D2F23" w:rsidRPr="00EB6ED7" w14:paraId="0BD7EA42" w14:textId="77777777" w:rsidTr="002D39C7">
        <w:tc>
          <w:tcPr>
            <w:tcW w:w="1980" w:type="dxa"/>
            <w:shd w:val="clear" w:color="auto" w:fill="auto"/>
          </w:tcPr>
          <w:p w14:paraId="74856D6A" w14:textId="77777777" w:rsidR="00FE425C" w:rsidRPr="004E30A9" w:rsidRDefault="00FE425C" w:rsidP="00A26ADD">
            <w:pPr>
              <w:spacing w:after="0" w:line="276" w:lineRule="auto"/>
              <w:ind w:hanging="11"/>
              <w:jc w:val="both"/>
              <w:rPr>
                <w:rFonts w:ascii="Times New Roman" w:hAnsi="Times New Roman" w:cs="Times New Roman"/>
                <w:sz w:val="26"/>
                <w:szCs w:val="26"/>
                <w:lang w:val="vi-VN"/>
              </w:rPr>
            </w:pPr>
            <w:r w:rsidRPr="004E30A9">
              <w:rPr>
                <w:rFonts w:ascii="Times New Roman" w:hAnsi="Times New Roman" w:cs="Times New Roman"/>
                <w:sz w:val="26"/>
                <w:szCs w:val="26"/>
                <w:lang w:val="vi-VN"/>
              </w:rPr>
              <w:t xml:space="preserve">(ii) Hỗ trợ tài chính đặc biệt/ </w:t>
            </w:r>
            <w:r w:rsidRPr="004E30A9">
              <w:rPr>
                <w:rFonts w:ascii="Times New Roman" w:hAnsi="Times New Roman" w:cs="Times New Roman"/>
                <w:sz w:val="26"/>
                <w:szCs w:val="26"/>
                <w:lang w:val="vi-VN"/>
              </w:rPr>
              <w:lastRenderedPageBreak/>
              <w:t>biện pháp liên quan</w:t>
            </w:r>
          </w:p>
          <w:p w14:paraId="3DC373FE" w14:textId="77777777" w:rsidR="00FE425C" w:rsidRPr="004E30A9" w:rsidRDefault="00FE425C" w:rsidP="00A26ADD">
            <w:pPr>
              <w:spacing w:after="0" w:line="276" w:lineRule="auto"/>
              <w:ind w:hanging="11"/>
              <w:jc w:val="both"/>
              <w:rPr>
                <w:rFonts w:ascii="Times New Roman" w:hAnsi="Times New Roman" w:cs="Times New Roman"/>
                <w:sz w:val="26"/>
                <w:szCs w:val="26"/>
              </w:rPr>
            </w:pPr>
            <w:r w:rsidRPr="004E30A9">
              <w:rPr>
                <w:rFonts w:ascii="Times New Roman" w:hAnsi="Times New Roman" w:cs="Times New Roman"/>
                <w:sz w:val="26"/>
                <w:szCs w:val="26"/>
                <w:lang w:val="vi-VN"/>
              </w:rPr>
              <w:t>(Điều 126-2, Khoản (1),  mục (ii) Luật Bảo hiểm tiền gửi)</w:t>
            </w:r>
          </w:p>
        </w:tc>
        <w:tc>
          <w:tcPr>
            <w:tcW w:w="2268" w:type="dxa"/>
            <w:shd w:val="clear" w:color="auto" w:fill="auto"/>
          </w:tcPr>
          <w:p w14:paraId="0E45B41D" w14:textId="77777777" w:rsidR="00FE425C" w:rsidRPr="004E30A9" w:rsidRDefault="00FE425C" w:rsidP="00A26ADD">
            <w:pPr>
              <w:spacing w:after="0" w:line="276" w:lineRule="auto"/>
              <w:ind w:hanging="11"/>
              <w:jc w:val="both"/>
              <w:rPr>
                <w:rFonts w:ascii="Times New Roman" w:hAnsi="Times New Roman" w:cs="Times New Roman"/>
                <w:sz w:val="26"/>
                <w:szCs w:val="26"/>
                <w:lang w:val="vi-VN"/>
              </w:rPr>
            </w:pPr>
            <w:r w:rsidRPr="004E30A9">
              <w:rPr>
                <w:rFonts w:ascii="Times New Roman" w:hAnsi="Times New Roman" w:cs="Times New Roman"/>
                <w:sz w:val="26"/>
                <w:szCs w:val="26"/>
                <w:lang w:val="vi-VN"/>
              </w:rPr>
              <w:lastRenderedPageBreak/>
              <w:t xml:space="preserve">Các tổ chức tài chính đổ vỡ, hoặc </w:t>
            </w:r>
            <w:r w:rsidRPr="004E30A9">
              <w:rPr>
                <w:rFonts w:ascii="Times New Roman" w:hAnsi="Times New Roman" w:cs="Times New Roman"/>
                <w:sz w:val="26"/>
                <w:szCs w:val="26"/>
                <w:lang w:val="vi-VN"/>
              </w:rPr>
              <w:lastRenderedPageBreak/>
              <w:t xml:space="preserve">có khả năng đổ vỡ, hoặc đã bị đình chỉ giao dịch, hoặc có khả năng bị đình chỉ giao dịch </w:t>
            </w:r>
          </w:p>
          <w:p w14:paraId="231B7209" w14:textId="77777777" w:rsidR="00FE425C" w:rsidRPr="004E30A9" w:rsidRDefault="00FE425C" w:rsidP="00A26ADD">
            <w:pPr>
              <w:pStyle w:val="ListParagraph"/>
              <w:tabs>
                <w:tab w:val="left" w:pos="284"/>
              </w:tabs>
              <w:spacing w:line="276" w:lineRule="auto"/>
              <w:ind w:left="0"/>
              <w:contextualSpacing w:val="0"/>
              <w:jc w:val="both"/>
              <w:rPr>
                <w:rFonts w:ascii="Times New Roman" w:hAnsi="Times New Roman" w:cs="Times New Roman"/>
                <w:sz w:val="26"/>
                <w:szCs w:val="26"/>
              </w:rPr>
            </w:pPr>
          </w:p>
        </w:tc>
        <w:tc>
          <w:tcPr>
            <w:tcW w:w="4768" w:type="dxa"/>
            <w:shd w:val="clear" w:color="auto" w:fill="auto"/>
          </w:tcPr>
          <w:p w14:paraId="6EF29144" w14:textId="77777777" w:rsidR="00FE425C" w:rsidRPr="004E30A9" w:rsidRDefault="00FE425C" w:rsidP="00A26ADD">
            <w:pPr>
              <w:spacing w:after="0" w:line="276" w:lineRule="auto"/>
              <w:ind w:hanging="11"/>
              <w:jc w:val="both"/>
              <w:rPr>
                <w:rFonts w:ascii="Times New Roman" w:hAnsi="Times New Roman" w:cs="Times New Roman"/>
                <w:sz w:val="26"/>
                <w:szCs w:val="26"/>
              </w:rPr>
            </w:pPr>
            <w:r w:rsidRPr="004E30A9">
              <w:rPr>
                <w:rFonts w:ascii="Times New Roman" w:hAnsi="Times New Roman" w:cs="Times New Roman"/>
                <w:sz w:val="26"/>
                <w:szCs w:val="26"/>
              </w:rPr>
              <w:lastRenderedPageBreak/>
              <w:t xml:space="preserve">Khi một tổ chức tài chính, v.v. bị mất khả năng chi trả, v.v., DICJ đặt tổ chức tài chính </w:t>
            </w:r>
            <w:r w:rsidRPr="004E30A9">
              <w:rPr>
                <w:rFonts w:ascii="Times New Roman" w:hAnsi="Times New Roman" w:cs="Times New Roman"/>
                <w:sz w:val="26"/>
                <w:szCs w:val="26"/>
              </w:rPr>
              <w:lastRenderedPageBreak/>
              <w:t>đó dưới sự giám sát, và có quyền thực hiện các hoạt động, quản lý và bán tài sản, nhanh chóng chuyển giao các giao dịch có tầm ảnh hưởng hệ thống từ tổ chức đó cho một tổ chức tài chính tiếp nhận nhất định, v.v. Bằng cách đó, DICJ hỗ trợ tài chính* cho tổ chức tài chính tiếp nhận nhất định, v.v. và bảo đảm hoàn thành các nghĩa vụ thanh toán của các giao dịch có tầm ảnh hưởng hệ thống.</w:t>
            </w:r>
          </w:p>
          <w:p w14:paraId="6ABBE146" w14:textId="77777777" w:rsidR="00FE425C" w:rsidRPr="004E30A9" w:rsidRDefault="00FE425C" w:rsidP="00A26ADD">
            <w:pPr>
              <w:spacing w:after="0" w:line="276" w:lineRule="auto"/>
              <w:ind w:hanging="11"/>
              <w:jc w:val="both"/>
              <w:rPr>
                <w:rFonts w:ascii="Times New Roman" w:hAnsi="Times New Roman" w:cs="Times New Roman"/>
                <w:i/>
                <w:iCs/>
                <w:sz w:val="26"/>
                <w:szCs w:val="26"/>
              </w:rPr>
            </w:pPr>
            <w:r w:rsidRPr="004E30A9">
              <w:rPr>
                <w:rFonts w:ascii="Times New Roman" w:hAnsi="Times New Roman" w:cs="Times New Roman"/>
                <w:i/>
                <w:iCs/>
                <w:sz w:val="26"/>
                <w:szCs w:val="26"/>
              </w:rPr>
              <w:t>* Tương tự với hỗ trợ tài chính (Điều 59, khổ (1) của Luật bảo hiểm tiền gửi), hỗ trợ tài chính cụ thể có thể dưới hình thức trợ cấp tiền tệ, khoản vay hoặc cấp vốn, mua lại tài sản, bảo lãnh nợ, tiếp nhận nghĩa vụ tài chính, đăng ký mua cổ phần ưu đãi và các công cụ huy động vốn và chia sẻ thiệt hại khác.</w:t>
            </w:r>
          </w:p>
          <w:p w14:paraId="44BE3922" w14:textId="77777777" w:rsidR="00FE425C" w:rsidRPr="004E30A9" w:rsidRDefault="00FE425C" w:rsidP="00A26ADD">
            <w:pPr>
              <w:spacing w:after="0" w:line="276" w:lineRule="auto"/>
              <w:ind w:hanging="11"/>
              <w:jc w:val="both"/>
              <w:rPr>
                <w:rFonts w:ascii="Times New Roman" w:hAnsi="Times New Roman" w:cs="Times New Roman"/>
                <w:sz w:val="26"/>
                <w:szCs w:val="26"/>
              </w:rPr>
            </w:pPr>
            <w:r w:rsidRPr="004E30A9">
              <w:rPr>
                <w:rFonts w:ascii="Times New Roman" w:hAnsi="Times New Roman" w:cs="Times New Roman"/>
                <w:sz w:val="26"/>
                <w:szCs w:val="26"/>
              </w:rPr>
              <w:t xml:space="preserve">Khi DICJ nhận được yêu cầu cho vay cần thiết để thanh toán các khoản nợ đi đôi với các giao dịch có tầm ảnh hưởng hệ thống, v.v. từ tổ chức tài chính v.v., và cho rằng là cần thiết, DICJ sẽ cấp khoản vay. </w:t>
            </w:r>
          </w:p>
          <w:p w14:paraId="50A2AD1C" w14:textId="77777777" w:rsidR="00FE425C" w:rsidRPr="004E30A9" w:rsidRDefault="00FE425C" w:rsidP="00A26ADD">
            <w:pPr>
              <w:spacing w:after="0" w:line="276" w:lineRule="auto"/>
              <w:ind w:hanging="11"/>
              <w:jc w:val="both"/>
              <w:rPr>
                <w:rFonts w:ascii="Times New Roman" w:hAnsi="Times New Roman" w:cs="Times New Roman"/>
                <w:sz w:val="26"/>
                <w:szCs w:val="26"/>
              </w:rPr>
            </w:pPr>
            <w:r w:rsidRPr="004E30A9">
              <w:rPr>
                <w:rFonts w:ascii="Times New Roman" w:hAnsi="Times New Roman" w:cs="Times New Roman"/>
                <w:sz w:val="26"/>
                <w:szCs w:val="26"/>
              </w:rPr>
              <w:t>Bất kỳ tài sản và nợ còn lại của tổ chức sẽ được bán thông qua thủ tục phá sản. Tuy nhiên, “tiền gửi,” “hợp đồng bảo hiểm,” và “các tài sản được gửi bởi khách hàng” được bảo vệ ở một mức độ nhất định thông qua “hệ thống bảo hiểm tiền gửi,” “hệ thống bảo vệ người mua bảo hiểm,” và “hệ thống quỹ bảo vệ nhà đầu tư.”</w:t>
            </w:r>
          </w:p>
        </w:tc>
      </w:tr>
    </w:tbl>
    <w:p w14:paraId="7542ACB5" w14:textId="77777777" w:rsidR="00FE425C" w:rsidRPr="004E30A9" w:rsidRDefault="00FE425C" w:rsidP="00A26ADD">
      <w:pPr>
        <w:spacing w:before="120" w:after="120" w:line="276" w:lineRule="auto"/>
        <w:ind w:firstLine="709"/>
        <w:jc w:val="both"/>
        <w:rPr>
          <w:rFonts w:ascii="Times New Roman" w:hAnsi="Times New Roman" w:cs="Times New Roman"/>
          <w:sz w:val="26"/>
          <w:szCs w:val="26"/>
        </w:rPr>
      </w:pPr>
      <w:r w:rsidRPr="004E30A9">
        <w:rPr>
          <w:rFonts w:ascii="Times New Roman" w:hAnsi="Times New Roman" w:cs="Times New Roman"/>
          <w:sz w:val="26"/>
          <w:szCs w:val="26"/>
        </w:rPr>
        <w:lastRenderedPageBreak/>
        <w:t>+ Chi phí xử lý: Tất cả các tổ chức tài chính chia sẻ chi phí này (tùy thuộc vào tình huống cụ thể, ví dụ: vụ đổ vỡ chỉ giới hạn trong ngành tài chính ngân hàng hay lây lan sang các ngành khác).</w:t>
      </w:r>
      <w:bookmarkStart w:id="18" w:name="_Toc184511530"/>
    </w:p>
    <w:p w14:paraId="19E88794" w14:textId="6FBF986E" w:rsidR="00FE425C" w:rsidRPr="004E30A9" w:rsidRDefault="00FE425C" w:rsidP="00A26ADD">
      <w:pPr>
        <w:spacing w:before="120" w:after="120" w:line="276" w:lineRule="auto"/>
        <w:ind w:firstLine="709"/>
        <w:jc w:val="both"/>
        <w:rPr>
          <w:rFonts w:ascii="Times New Roman" w:hAnsi="Times New Roman" w:cs="Times New Roman"/>
          <w:b/>
          <w:sz w:val="26"/>
          <w:szCs w:val="26"/>
        </w:rPr>
      </w:pPr>
      <w:r w:rsidRPr="004E30A9">
        <w:rPr>
          <w:rFonts w:ascii="Times New Roman" w:hAnsi="Times New Roman" w:cs="Times New Roman"/>
          <w:b/>
          <w:iCs/>
          <w:sz w:val="26"/>
          <w:szCs w:val="26"/>
        </w:rPr>
        <w:t>1.4</w:t>
      </w:r>
      <w:r w:rsidRPr="004E30A9">
        <w:rPr>
          <w:rFonts w:ascii="Times New Roman" w:hAnsi="Times New Roman" w:cs="Times New Roman"/>
          <w:b/>
          <w:iCs/>
          <w:sz w:val="26"/>
          <w:szCs w:val="26"/>
          <w:lang w:val="vi-VN"/>
        </w:rPr>
        <w:t xml:space="preserve">. </w:t>
      </w:r>
      <w:r w:rsidRPr="004E30A9">
        <w:rPr>
          <w:rFonts w:ascii="Times New Roman" w:hAnsi="Times New Roman" w:cs="Times New Roman"/>
          <w:b/>
          <w:iCs/>
          <w:sz w:val="26"/>
          <w:szCs w:val="26"/>
        </w:rPr>
        <w:t>Sự p</w:t>
      </w:r>
      <w:r w:rsidRPr="004E30A9">
        <w:rPr>
          <w:rFonts w:ascii="Times New Roman" w:hAnsi="Times New Roman" w:cs="Times New Roman"/>
          <w:b/>
          <w:iCs/>
          <w:sz w:val="26"/>
          <w:szCs w:val="26"/>
          <w:lang w:val="vi-VN"/>
        </w:rPr>
        <w:t>hối hợp giữa các cơ quan</w:t>
      </w:r>
      <w:bookmarkEnd w:id="18"/>
      <w:r w:rsidRPr="004E30A9">
        <w:rPr>
          <w:rFonts w:ascii="Times New Roman" w:hAnsi="Times New Roman" w:cs="Times New Roman"/>
          <w:b/>
          <w:iCs/>
          <w:sz w:val="26"/>
          <w:szCs w:val="26"/>
        </w:rPr>
        <w:t xml:space="preserve"> trong mạng an toàn tài chính</w:t>
      </w:r>
    </w:p>
    <w:p w14:paraId="08A5FAEE" w14:textId="77777777" w:rsidR="00FE425C" w:rsidRPr="004E30A9" w:rsidRDefault="00FE425C" w:rsidP="00A26ADD">
      <w:pPr>
        <w:spacing w:before="120" w:after="120" w:line="276" w:lineRule="auto"/>
        <w:ind w:firstLine="709"/>
        <w:jc w:val="both"/>
        <w:rPr>
          <w:rStyle w:val="Strong"/>
          <w:rFonts w:ascii="Times New Roman" w:eastAsia="Times New Roman" w:hAnsi="Times New Roman" w:cs="Times New Roman"/>
          <w:b w:val="0"/>
          <w:bCs w:val="0"/>
          <w:i/>
          <w:iCs/>
          <w:sz w:val="26"/>
          <w:szCs w:val="26"/>
        </w:rPr>
      </w:pPr>
      <w:r w:rsidRPr="004E30A9">
        <w:rPr>
          <w:rStyle w:val="Strong"/>
          <w:rFonts w:ascii="Times New Roman" w:eastAsia="Times New Roman" w:hAnsi="Times New Roman" w:cs="Times New Roman"/>
          <w:b w:val="0"/>
          <w:i/>
          <w:sz w:val="26"/>
          <w:szCs w:val="26"/>
        </w:rPr>
        <w:t>a. Tổng quan về mạng an toàn tài chính</w:t>
      </w:r>
    </w:p>
    <w:p w14:paraId="62983ED8" w14:textId="77777777" w:rsidR="00FE425C" w:rsidRPr="004E30A9" w:rsidRDefault="00FE425C" w:rsidP="00A26ADD">
      <w:pPr>
        <w:spacing w:before="120" w:after="120" w:line="276" w:lineRule="auto"/>
        <w:ind w:firstLine="709"/>
        <w:jc w:val="both"/>
        <w:rPr>
          <w:rFonts w:ascii="Times New Roman" w:hAnsi="Times New Roman" w:cs="Times New Roman"/>
          <w:sz w:val="26"/>
          <w:szCs w:val="26"/>
        </w:rPr>
      </w:pPr>
      <w:r w:rsidRPr="004E30A9">
        <w:rPr>
          <w:rFonts w:ascii="Times New Roman" w:hAnsi="Times New Roman" w:cs="Times New Roman"/>
          <w:sz w:val="26"/>
          <w:szCs w:val="26"/>
        </w:rPr>
        <w:t>Mạng an toàn tài chính Nhật Bản bao gồm các cơ quan:</w:t>
      </w:r>
    </w:p>
    <w:p w14:paraId="05AFE221" w14:textId="77777777" w:rsidR="00FE425C" w:rsidRPr="004E30A9" w:rsidRDefault="00FE425C" w:rsidP="00A26ADD">
      <w:pPr>
        <w:spacing w:before="120" w:after="120" w:line="276" w:lineRule="auto"/>
        <w:ind w:firstLine="709"/>
        <w:jc w:val="both"/>
        <w:rPr>
          <w:rFonts w:ascii="Times New Roman" w:hAnsi="Times New Roman" w:cs="Times New Roman"/>
          <w:sz w:val="26"/>
          <w:szCs w:val="26"/>
        </w:rPr>
      </w:pPr>
      <w:r w:rsidRPr="004E30A9">
        <w:rPr>
          <w:rFonts w:ascii="Times New Roman" w:hAnsi="Times New Roman" w:cs="Times New Roman"/>
          <w:sz w:val="26"/>
          <w:szCs w:val="26"/>
        </w:rPr>
        <w:t>- Cơ quan Dịch vụ Tài chính (FSA): Cơ quan quản lý và giám sát các tổ chức tài chính.</w:t>
      </w:r>
    </w:p>
    <w:p w14:paraId="4782B08E" w14:textId="77777777" w:rsidR="00FE425C" w:rsidRPr="004E30A9" w:rsidRDefault="00FE425C" w:rsidP="00A26ADD">
      <w:pPr>
        <w:spacing w:before="120" w:after="120" w:line="276" w:lineRule="auto"/>
        <w:ind w:firstLine="709"/>
        <w:jc w:val="both"/>
        <w:rPr>
          <w:rFonts w:ascii="Times New Roman" w:hAnsi="Times New Roman" w:cs="Times New Roman"/>
          <w:sz w:val="26"/>
          <w:szCs w:val="26"/>
        </w:rPr>
      </w:pPr>
      <w:r w:rsidRPr="004E30A9">
        <w:rPr>
          <w:rFonts w:ascii="Times New Roman" w:hAnsi="Times New Roman" w:cs="Times New Roman"/>
          <w:sz w:val="26"/>
          <w:szCs w:val="26"/>
        </w:rPr>
        <w:lastRenderedPageBreak/>
        <w:t>- Ngân hàng Trung ương Nhật Bản (BoJ): Cung cấp thanh khoản và hỗ trợ khẩn cấp.</w:t>
      </w:r>
    </w:p>
    <w:p w14:paraId="7BBC03A3" w14:textId="77777777" w:rsidR="00FE425C" w:rsidRPr="004E30A9" w:rsidRDefault="00FE425C" w:rsidP="00A26ADD">
      <w:pPr>
        <w:spacing w:before="120" w:after="120" w:line="276" w:lineRule="auto"/>
        <w:ind w:firstLine="709"/>
        <w:jc w:val="both"/>
        <w:rPr>
          <w:rFonts w:ascii="Times New Roman" w:hAnsi="Times New Roman" w:cs="Times New Roman"/>
          <w:sz w:val="26"/>
          <w:szCs w:val="26"/>
        </w:rPr>
      </w:pPr>
      <w:r w:rsidRPr="004E30A9">
        <w:rPr>
          <w:rFonts w:ascii="Times New Roman" w:hAnsi="Times New Roman" w:cs="Times New Roman"/>
          <w:sz w:val="26"/>
          <w:szCs w:val="26"/>
        </w:rPr>
        <w:t>- Tổng Công ty Bảo hiểm Tiền gửi Nhật Bản (DICJ): Bảo vệ người gửi tiền và xử lý tổ chức tài chính.</w:t>
      </w:r>
    </w:p>
    <w:p w14:paraId="76E46C10" w14:textId="77777777" w:rsidR="00FE425C" w:rsidRPr="004E30A9" w:rsidRDefault="00FE425C" w:rsidP="00A26ADD">
      <w:pPr>
        <w:spacing w:before="120" w:after="120" w:line="276" w:lineRule="auto"/>
        <w:ind w:firstLine="709"/>
        <w:jc w:val="both"/>
        <w:rPr>
          <w:rFonts w:ascii="Times New Roman" w:hAnsi="Times New Roman" w:cs="Times New Roman"/>
          <w:sz w:val="26"/>
          <w:szCs w:val="26"/>
        </w:rPr>
      </w:pPr>
      <w:r w:rsidRPr="004E30A9">
        <w:rPr>
          <w:rFonts w:ascii="Times New Roman" w:hAnsi="Times New Roman" w:cs="Times New Roman"/>
          <w:sz w:val="26"/>
          <w:szCs w:val="26"/>
        </w:rPr>
        <w:t>- Bộ Tài chính (MOF): Đóng vai trò hỗ trợ trong việc điều phối chính sách tài khóa và tài chính quốc gia.</w:t>
      </w:r>
    </w:p>
    <w:p w14:paraId="341298BA" w14:textId="77777777" w:rsidR="00FE425C" w:rsidRPr="004E30A9" w:rsidRDefault="00FE425C" w:rsidP="00A26ADD">
      <w:pPr>
        <w:spacing w:before="120" w:after="120" w:line="276" w:lineRule="auto"/>
        <w:ind w:firstLine="709"/>
        <w:jc w:val="both"/>
        <w:rPr>
          <w:rFonts w:ascii="Times New Roman" w:hAnsi="Times New Roman" w:cs="Times New Roman"/>
          <w:i/>
          <w:iCs/>
          <w:sz w:val="26"/>
          <w:szCs w:val="26"/>
        </w:rPr>
      </w:pPr>
      <w:r w:rsidRPr="004E30A9">
        <w:rPr>
          <w:rFonts w:ascii="Times New Roman" w:hAnsi="Times New Roman" w:cs="Times New Roman"/>
          <w:i/>
          <w:iCs/>
          <w:sz w:val="26"/>
          <w:szCs w:val="26"/>
        </w:rPr>
        <w:t>b. Sự phối hợp giữa các cơ quan trong</w:t>
      </w:r>
      <w:r w:rsidRPr="004E30A9">
        <w:rPr>
          <w:rStyle w:val="Strong"/>
          <w:rFonts w:ascii="Times New Roman" w:eastAsia="Times New Roman" w:hAnsi="Times New Roman" w:cs="Times New Roman"/>
          <w:sz w:val="26"/>
          <w:szCs w:val="26"/>
        </w:rPr>
        <w:t xml:space="preserve"> </w:t>
      </w:r>
      <w:r w:rsidRPr="004E30A9">
        <w:rPr>
          <w:rStyle w:val="Strong"/>
          <w:rFonts w:ascii="Times New Roman" w:eastAsia="Times New Roman" w:hAnsi="Times New Roman" w:cs="Times New Roman"/>
          <w:b w:val="0"/>
          <w:i/>
          <w:sz w:val="26"/>
          <w:szCs w:val="26"/>
        </w:rPr>
        <w:t>mạng an toàn tài chính</w:t>
      </w:r>
      <w:r w:rsidRPr="004E30A9">
        <w:rPr>
          <w:rFonts w:ascii="Times New Roman" w:hAnsi="Times New Roman" w:cs="Times New Roman"/>
          <w:i/>
          <w:iCs/>
          <w:sz w:val="26"/>
          <w:szCs w:val="26"/>
        </w:rPr>
        <w:t xml:space="preserve"> trong việc giám sát, can thiệp và xử lý các tổ chức tài chính</w:t>
      </w:r>
      <w:r w:rsidRPr="004E30A9" w:rsidDel="004C6171">
        <w:rPr>
          <w:rFonts w:ascii="Times New Roman" w:hAnsi="Times New Roman" w:cs="Times New Roman"/>
          <w:i/>
          <w:iCs/>
          <w:sz w:val="26"/>
          <w:szCs w:val="26"/>
        </w:rPr>
        <w:t xml:space="preserve"> </w:t>
      </w:r>
    </w:p>
    <w:p w14:paraId="4879D53C" w14:textId="77777777" w:rsidR="00FE425C" w:rsidRPr="004E30A9" w:rsidRDefault="00FE425C" w:rsidP="00FE425C">
      <w:pPr>
        <w:tabs>
          <w:tab w:val="left" w:pos="284"/>
        </w:tabs>
        <w:spacing w:before="120" w:after="120" w:line="240" w:lineRule="auto"/>
        <w:ind w:firstLine="709"/>
        <w:jc w:val="center"/>
        <w:rPr>
          <w:rFonts w:ascii="Times New Roman" w:hAnsi="Times New Roman"/>
          <w:b/>
          <w:bCs/>
          <w:sz w:val="26"/>
          <w:szCs w:val="26"/>
        </w:rPr>
      </w:pPr>
      <w:r w:rsidRPr="004E30A9">
        <w:rPr>
          <w:rFonts w:ascii="Times New Roman" w:hAnsi="Times New Roman"/>
          <w:b/>
          <w:bCs/>
          <w:sz w:val="26"/>
          <w:szCs w:val="26"/>
        </w:rPr>
        <w:t>Quy trình phối hợp giữa các cơ quan trong mạng an toàn tài chính</w:t>
      </w:r>
    </w:p>
    <w:p w14:paraId="04F64B72" w14:textId="419D0DD5" w:rsidR="00FE425C" w:rsidRPr="004E30A9" w:rsidRDefault="00FE425C" w:rsidP="00FE425C">
      <w:pPr>
        <w:jc w:val="center"/>
        <w:rPr>
          <w:rFonts w:ascii="Times New Roman" w:hAnsi="Times New Roman"/>
          <w:sz w:val="26"/>
          <w:szCs w:val="26"/>
        </w:rPr>
      </w:pPr>
      <w:r w:rsidRPr="004E30A9">
        <w:rPr>
          <w:rFonts w:ascii="Times New Roman" w:hAnsi="Times New Roman"/>
          <w:noProof/>
          <w:sz w:val="26"/>
          <w:szCs w:val="26"/>
        </w:rPr>
        <w:drawing>
          <wp:inline distT="0" distB="0" distL="0" distR="0" wp14:anchorId="5D4BAA50" wp14:editId="566025F5">
            <wp:extent cx="4986655" cy="285877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86655" cy="2858770"/>
                    </a:xfrm>
                    <a:prstGeom prst="rect">
                      <a:avLst/>
                    </a:prstGeom>
                    <a:noFill/>
                    <a:ln>
                      <a:noFill/>
                    </a:ln>
                  </pic:spPr>
                </pic:pic>
              </a:graphicData>
            </a:graphic>
          </wp:inline>
        </w:drawing>
      </w:r>
    </w:p>
    <w:p w14:paraId="77B9166C" w14:textId="77777777" w:rsidR="00FE425C" w:rsidRPr="004E30A9" w:rsidRDefault="00FE425C" w:rsidP="00A26ADD">
      <w:pPr>
        <w:spacing w:before="120" w:after="120" w:line="276" w:lineRule="auto"/>
        <w:ind w:firstLine="709"/>
        <w:jc w:val="both"/>
        <w:rPr>
          <w:rFonts w:ascii="Times New Roman" w:hAnsi="Times New Roman"/>
          <w:sz w:val="26"/>
          <w:szCs w:val="26"/>
        </w:rPr>
      </w:pPr>
      <w:r w:rsidRPr="004E30A9">
        <w:rPr>
          <w:rFonts w:ascii="Times New Roman" w:hAnsi="Times New Roman"/>
          <w:sz w:val="26"/>
          <w:szCs w:val="26"/>
        </w:rPr>
        <w:t>Các cơ quan trong mạng an toàn tài chính phối hợp theo quy định tại các bộ luật và các thỏa thuận hợp tác (MOU) nhằm chia sẻ thông tin và phối hợp trong xử lý đổ vỡ và ứng phó với khủng hoảng.</w:t>
      </w:r>
    </w:p>
    <w:p w14:paraId="129E2E6A" w14:textId="77777777" w:rsidR="00FE425C" w:rsidRPr="004E30A9" w:rsidRDefault="00FE425C" w:rsidP="00A26ADD">
      <w:pPr>
        <w:spacing w:before="120" w:after="120" w:line="276" w:lineRule="auto"/>
        <w:ind w:firstLine="709"/>
        <w:jc w:val="both"/>
        <w:rPr>
          <w:rFonts w:ascii="Times New Roman" w:hAnsi="Times New Roman"/>
          <w:sz w:val="26"/>
          <w:szCs w:val="26"/>
        </w:rPr>
      </w:pPr>
      <w:r w:rsidRPr="004E30A9">
        <w:rPr>
          <w:rFonts w:ascii="Times New Roman" w:hAnsi="Times New Roman"/>
          <w:sz w:val="26"/>
          <w:szCs w:val="26"/>
        </w:rPr>
        <w:t>FSA, BOJ và MoF là thành viên của Hội đồng Ứng phó Khủng hoảng Tài chính (FCRC) và có cơ chế chia sẻ thông tin khi cần thiết. Ngoài ra, theo Đạo luật Tổ chức Chính phủ Quốc gia, FSA và MoF có thể chia sẻ thông tin với nhau. FSA và BOJ trao đổi thông tin về tình hình của TCTC để xác định TCTC có đang hoạt động lành mạnh hay cần can thiệp. Về phía DICJ, trong giai đoạn xử lý, DICJ được FSA cung cấp thông tin để phục vụ mục đích xử lý TCTC bị đổ vỡ.</w:t>
      </w:r>
    </w:p>
    <w:p w14:paraId="596751AD" w14:textId="77777777" w:rsidR="00FE425C" w:rsidRPr="004E30A9" w:rsidRDefault="00FE425C" w:rsidP="00A26ADD">
      <w:pPr>
        <w:spacing w:before="120" w:after="120" w:line="276" w:lineRule="auto"/>
        <w:ind w:firstLine="709"/>
        <w:rPr>
          <w:rFonts w:ascii="Times New Roman" w:hAnsi="Times New Roman"/>
          <w:sz w:val="26"/>
          <w:szCs w:val="26"/>
        </w:rPr>
      </w:pPr>
      <w:r w:rsidRPr="004E30A9">
        <w:rPr>
          <w:rFonts w:ascii="Times New Roman" w:hAnsi="Times New Roman"/>
          <w:sz w:val="26"/>
          <w:szCs w:val="26"/>
        </w:rPr>
        <w:t>Nhiệm vụ của các cơ quan trong quá trình giám sát, can thiệp và xử lý các tổ chức tài chính:</w:t>
      </w:r>
    </w:p>
    <w:p w14:paraId="6BB54A63" w14:textId="77777777" w:rsidR="00FE425C" w:rsidRPr="004E30A9" w:rsidRDefault="00FE425C" w:rsidP="00A26ADD">
      <w:pPr>
        <w:spacing w:before="120" w:after="120" w:line="276" w:lineRule="auto"/>
        <w:ind w:firstLine="709"/>
        <w:jc w:val="both"/>
        <w:rPr>
          <w:rFonts w:ascii="Times New Roman" w:hAnsi="Times New Roman"/>
          <w:sz w:val="26"/>
          <w:szCs w:val="26"/>
        </w:rPr>
      </w:pPr>
      <w:r w:rsidRPr="004E30A9">
        <w:rPr>
          <w:rFonts w:ascii="Times New Roman" w:hAnsi="Times New Roman"/>
          <w:sz w:val="26"/>
          <w:szCs w:val="26"/>
        </w:rPr>
        <w:t>- Phát hiện và đánh giá rủi ro bởi FSA</w:t>
      </w:r>
    </w:p>
    <w:p w14:paraId="24F3B16D" w14:textId="77777777" w:rsidR="00FE425C" w:rsidRPr="004E30A9" w:rsidRDefault="00FE425C" w:rsidP="00A26ADD">
      <w:pPr>
        <w:spacing w:before="120" w:after="120" w:line="276" w:lineRule="auto"/>
        <w:ind w:firstLine="709"/>
        <w:jc w:val="both"/>
        <w:rPr>
          <w:rFonts w:ascii="Times New Roman" w:hAnsi="Times New Roman"/>
          <w:sz w:val="26"/>
          <w:szCs w:val="26"/>
        </w:rPr>
      </w:pPr>
      <w:r w:rsidRPr="004E30A9">
        <w:rPr>
          <w:rFonts w:ascii="Times New Roman" w:hAnsi="Times New Roman"/>
          <w:sz w:val="26"/>
          <w:szCs w:val="26"/>
        </w:rPr>
        <w:t xml:space="preserve">FSA là cơ quan chủ đạo trong việc giám sát các ngân hàng và tổ chức tài chính. Khi phát hiện các dấu hiệu cho thấy một tổ chức tài chính đang gặp rủi ro hoặc nguy cơ phá sản, FSA sẽ đánh giá tình trạng tài chính của ngân hàng và báo cáo với các cơ quan liên quan. </w:t>
      </w:r>
      <w:r w:rsidRPr="004E30A9">
        <w:rPr>
          <w:rFonts w:ascii="Times New Roman" w:hAnsi="Times New Roman"/>
          <w:sz w:val="26"/>
          <w:szCs w:val="26"/>
        </w:rPr>
        <w:lastRenderedPageBreak/>
        <w:t>FSA có quyền yêu cầu các ngân hàng tăng cường vốn, cải thiện cơ cấu quản lý, hoặc thực hiện các biện pháp kiểm soát rủi ro.</w:t>
      </w:r>
    </w:p>
    <w:p w14:paraId="33EA6702" w14:textId="77777777" w:rsidR="00FE425C" w:rsidRPr="004E30A9" w:rsidRDefault="00FE425C" w:rsidP="00A26ADD">
      <w:pPr>
        <w:spacing w:before="120" w:after="120" w:line="276" w:lineRule="auto"/>
        <w:ind w:firstLine="709"/>
        <w:jc w:val="both"/>
        <w:rPr>
          <w:rFonts w:ascii="Times New Roman" w:hAnsi="Times New Roman"/>
          <w:sz w:val="26"/>
          <w:szCs w:val="26"/>
        </w:rPr>
      </w:pPr>
      <w:r w:rsidRPr="004E30A9">
        <w:rPr>
          <w:rFonts w:ascii="Times New Roman" w:hAnsi="Times New Roman"/>
          <w:sz w:val="26"/>
          <w:szCs w:val="26"/>
        </w:rPr>
        <w:t>- Hỗ trợ thanh khoản bởi BOJ</w:t>
      </w:r>
    </w:p>
    <w:p w14:paraId="427E8B59" w14:textId="77777777" w:rsidR="00FE425C" w:rsidRPr="004E30A9" w:rsidRDefault="00FE425C" w:rsidP="00A26ADD">
      <w:pPr>
        <w:spacing w:before="120" w:after="120" w:line="276" w:lineRule="auto"/>
        <w:ind w:firstLine="709"/>
        <w:jc w:val="both"/>
        <w:rPr>
          <w:rFonts w:ascii="Times New Roman" w:hAnsi="Times New Roman"/>
          <w:sz w:val="26"/>
          <w:szCs w:val="26"/>
        </w:rPr>
      </w:pPr>
      <w:r w:rsidRPr="004E30A9">
        <w:rPr>
          <w:rFonts w:ascii="Times New Roman" w:hAnsi="Times New Roman"/>
          <w:sz w:val="26"/>
          <w:szCs w:val="26"/>
        </w:rPr>
        <w:t>Trong trường hợp ngân hàng gặp khó khăn về thanh khoản nhưng vẫn còn khả năng hồi phục, BOJ có thể cung cấp thanh khoản khẩn cấp (lender of last resort) để hỗ trợ ngân hàng vượt qua khủng hoảng tạm thời. BOJ sẽ đánh giá khả năng trả nợ và các điều kiện tài chính của ngân hàng trước khi cung cấp hỗ trợ thanh khoản.</w:t>
      </w:r>
    </w:p>
    <w:p w14:paraId="0BB4A416" w14:textId="77777777" w:rsidR="00FE425C" w:rsidRPr="004E30A9" w:rsidRDefault="00FE425C" w:rsidP="00A26ADD">
      <w:pPr>
        <w:spacing w:before="120" w:after="120" w:line="276" w:lineRule="auto"/>
        <w:ind w:firstLine="709"/>
        <w:jc w:val="both"/>
        <w:rPr>
          <w:rFonts w:ascii="Times New Roman" w:hAnsi="Times New Roman"/>
          <w:sz w:val="26"/>
          <w:szCs w:val="26"/>
        </w:rPr>
      </w:pPr>
      <w:r w:rsidRPr="004E30A9">
        <w:rPr>
          <w:rFonts w:ascii="Times New Roman" w:hAnsi="Times New Roman"/>
          <w:sz w:val="26"/>
          <w:szCs w:val="26"/>
        </w:rPr>
        <w:t>- Xử lý và tái cấu trúc ngân hàng bởi DICJ</w:t>
      </w:r>
    </w:p>
    <w:p w14:paraId="2C078FCC" w14:textId="77777777" w:rsidR="00FE425C" w:rsidRPr="004E30A9" w:rsidRDefault="00FE425C" w:rsidP="00A26ADD">
      <w:pPr>
        <w:spacing w:before="120" w:after="120" w:line="276" w:lineRule="auto"/>
        <w:ind w:firstLine="709"/>
        <w:jc w:val="both"/>
        <w:rPr>
          <w:rFonts w:ascii="Times New Roman" w:hAnsi="Times New Roman"/>
          <w:sz w:val="26"/>
          <w:szCs w:val="26"/>
        </w:rPr>
      </w:pPr>
      <w:r w:rsidRPr="004E30A9">
        <w:rPr>
          <w:rFonts w:ascii="Times New Roman" w:hAnsi="Times New Roman"/>
          <w:sz w:val="26"/>
          <w:szCs w:val="26"/>
        </w:rPr>
        <w:t xml:space="preserve">Nếu một ngân hàng không thể phục hồi sau các biện pháp hỗ trợ thanh khoản, DICJ sẽ tiến hành xử lý ngân hàng. DICJ có thể tái cấu trúc ngân hàng bằng cách yêu cầu hợp nhất với một tổ chức tài chính mạnh hơn hoặc thực hiện thanh lý ngân hàng. DICJ cũng có thể thành lập ngân hàng bắc cầu (bridge bank) để tiếp quản các tài sản và nợ của ngân hàng đang phá sản cho đến khi tìm được người mua hoặc giải pháp dài hạn. </w:t>
      </w:r>
    </w:p>
    <w:p w14:paraId="39245A9A" w14:textId="77777777" w:rsidR="00FE425C" w:rsidRPr="004E30A9" w:rsidRDefault="00FE425C" w:rsidP="00A26ADD">
      <w:pPr>
        <w:spacing w:before="120" w:after="120" w:line="276" w:lineRule="auto"/>
        <w:ind w:firstLine="709"/>
        <w:jc w:val="both"/>
        <w:rPr>
          <w:rFonts w:ascii="Times New Roman" w:hAnsi="Times New Roman"/>
          <w:sz w:val="26"/>
          <w:szCs w:val="26"/>
        </w:rPr>
      </w:pPr>
      <w:r w:rsidRPr="004E30A9">
        <w:rPr>
          <w:rFonts w:ascii="Times New Roman" w:hAnsi="Times New Roman"/>
          <w:sz w:val="26"/>
          <w:szCs w:val="26"/>
        </w:rPr>
        <w:t>- Thanh lý và chi trả cho người gửi tiền bởi DICJ</w:t>
      </w:r>
    </w:p>
    <w:p w14:paraId="42B4A973" w14:textId="77777777" w:rsidR="00FE425C" w:rsidRPr="004E30A9" w:rsidRDefault="00FE425C" w:rsidP="00A26ADD">
      <w:pPr>
        <w:spacing w:before="120" w:after="120" w:line="276" w:lineRule="auto"/>
        <w:ind w:firstLine="709"/>
        <w:jc w:val="both"/>
        <w:rPr>
          <w:rFonts w:ascii="Times New Roman" w:hAnsi="Times New Roman"/>
          <w:sz w:val="26"/>
          <w:szCs w:val="26"/>
        </w:rPr>
      </w:pPr>
      <w:r w:rsidRPr="004E30A9">
        <w:rPr>
          <w:rFonts w:ascii="Times New Roman" w:hAnsi="Times New Roman"/>
          <w:sz w:val="26"/>
          <w:szCs w:val="26"/>
        </w:rPr>
        <w:t>Nếu không thể tái cấu trúc thành công, DICJ sẽ thực hiện việc thanh lý tài sản của ngân hàng phá sản. Toàn bộ hoặc một phần tài sản sẽ được bán đi để giảm thiểu thiệt hại. Sau đó, DICJ sẽ tiến hành chi trả tiền gửi cho người gửi tiền trong phạm vi bảo hiểm được quy định (hiện tại là 10 triệu Yen cho mỗi người gửi tiền tại một ngân hàng).</w:t>
      </w:r>
    </w:p>
    <w:p w14:paraId="27D58303" w14:textId="77777777" w:rsidR="00FE425C" w:rsidRPr="004E30A9" w:rsidRDefault="00FE425C" w:rsidP="00A26ADD">
      <w:pPr>
        <w:spacing w:before="120" w:after="120" w:line="276" w:lineRule="auto"/>
        <w:ind w:firstLine="709"/>
        <w:jc w:val="both"/>
        <w:rPr>
          <w:rFonts w:ascii="Times New Roman" w:hAnsi="Times New Roman"/>
          <w:sz w:val="26"/>
          <w:szCs w:val="26"/>
        </w:rPr>
      </w:pPr>
      <w:r w:rsidRPr="004E30A9">
        <w:rPr>
          <w:rFonts w:ascii="Times New Roman" w:hAnsi="Times New Roman"/>
          <w:sz w:val="26"/>
          <w:szCs w:val="26"/>
        </w:rPr>
        <w:t>- Hỗ trợ chính sách tài khóa và pháp lý bởi MOF</w:t>
      </w:r>
    </w:p>
    <w:p w14:paraId="450FC296" w14:textId="77777777" w:rsidR="00FE425C" w:rsidRPr="004E30A9" w:rsidRDefault="00FE425C" w:rsidP="00A26ADD">
      <w:pPr>
        <w:spacing w:before="120" w:after="120" w:line="276" w:lineRule="auto"/>
        <w:ind w:firstLine="709"/>
        <w:jc w:val="both"/>
        <w:rPr>
          <w:rFonts w:ascii="Times New Roman" w:hAnsi="Times New Roman" w:cs="Times New Roman"/>
          <w:sz w:val="26"/>
          <w:szCs w:val="26"/>
        </w:rPr>
      </w:pPr>
      <w:r w:rsidRPr="004E30A9">
        <w:rPr>
          <w:rFonts w:ascii="Times New Roman" w:hAnsi="Times New Roman"/>
          <w:sz w:val="26"/>
          <w:szCs w:val="26"/>
        </w:rPr>
        <w:t xml:space="preserve">MOF hỗ trợ trong việc điều phối chính sách tài khóa và cung cấp khung pháp lý để xử lý khủng hoảng tài chính. Bộ Tài chính (MOF) cũng đảm bảo rằng các quỹ công được phân bổ hợp lý khi cần thiết để giải cứu hệ thống tài chính </w:t>
      </w:r>
      <w:r w:rsidRPr="004E30A9">
        <w:rPr>
          <w:rFonts w:ascii="Times New Roman" w:hAnsi="Times New Roman" w:cs="Times New Roman"/>
          <w:sz w:val="26"/>
          <w:szCs w:val="26"/>
        </w:rPr>
        <w:t>hoặc hỗ trợ DICJ trong quá trình xử lý ngân hàng.</w:t>
      </w:r>
    </w:p>
    <w:p w14:paraId="2447B1D8" w14:textId="0AB36AC1" w:rsidR="00FE425C" w:rsidRPr="004E30A9" w:rsidRDefault="00FE425C" w:rsidP="00A26ADD">
      <w:pPr>
        <w:spacing w:before="120" w:after="120" w:line="276" w:lineRule="auto"/>
        <w:ind w:firstLine="709"/>
        <w:jc w:val="both"/>
        <w:rPr>
          <w:rFonts w:ascii="Times New Roman" w:hAnsi="Times New Roman" w:cs="Times New Roman"/>
          <w:b/>
          <w:sz w:val="26"/>
          <w:szCs w:val="26"/>
        </w:rPr>
      </w:pPr>
      <w:r w:rsidRPr="004E30A9">
        <w:rPr>
          <w:rFonts w:ascii="Times New Roman" w:hAnsi="Times New Roman" w:cs="Times New Roman"/>
          <w:b/>
          <w:sz w:val="26"/>
          <w:szCs w:val="26"/>
        </w:rPr>
        <w:t>2. Hàn Quốc:</w:t>
      </w:r>
    </w:p>
    <w:p w14:paraId="185FC1E4" w14:textId="77777777" w:rsidR="00FE425C" w:rsidRPr="004E30A9" w:rsidRDefault="00FE425C" w:rsidP="00A26ADD">
      <w:pPr>
        <w:spacing w:before="120" w:after="120" w:line="276" w:lineRule="auto"/>
        <w:ind w:firstLine="709"/>
        <w:jc w:val="both"/>
        <w:rPr>
          <w:rFonts w:ascii="Times New Roman" w:hAnsi="Times New Roman" w:cs="Times New Roman"/>
          <w:b/>
          <w:bCs/>
          <w:sz w:val="26"/>
          <w:szCs w:val="26"/>
        </w:rPr>
      </w:pPr>
      <w:r w:rsidRPr="004E30A9">
        <w:rPr>
          <w:rFonts w:ascii="Times New Roman" w:hAnsi="Times New Roman" w:cs="Times New Roman"/>
          <w:sz w:val="26"/>
          <w:szCs w:val="26"/>
        </w:rPr>
        <w:t xml:space="preserve">Tổng công ty BHTG Hàn Quốc (KDIC) là cơ quan xử lý, chịu trách nhiệm tiến hành các bước xử lý tổ chức tài chính dưới sự chỉ đạo của Ủy ban dịch vụ tài chính (FSC). FSC và Ủy ban bảo hiểm tiền gửi của KDIC có thẩm quyền tuyên bố một tổ chức tài chính bị đổ vỡ hay có nguy cơ bị đổ vỡ. Sau đó, KDIC lựa chọn một phương pháp thích hợp nhất trong số các phương pháp: chi trả-thanh lý; mua lại và tiếp nhận (P&amp;A); ngân hàng bắc cầu; và hỗ trợ tài chính để tiến hành xử lý tổ chức tài chính bị đổ vỡ. </w:t>
      </w:r>
    </w:p>
    <w:p w14:paraId="2C9E18C1" w14:textId="42DAB87E" w:rsidR="00FE425C" w:rsidRPr="004E30A9" w:rsidRDefault="00FE425C" w:rsidP="00A26ADD">
      <w:pPr>
        <w:spacing w:before="120" w:line="276" w:lineRule="auto"/>
        <w:ind w:left="720"/>
        <w:jc w:val="both"/>
        <w:rPr>
          <w:rFonts w:ascii="Times New Roman" w:hAnsi="Times New Roman" w:cs="Times New Roman"/>
          <w:b/>
          <w:sz w:val="26"/>
          <w:szCs w:val="26"/>
        </w:rPr>
      </w:pPr>
      <w:r w:rsidRPr="004E30A9">
        <w:rPr>
          <w:rFonts w:ascii="Times New Roman" w:hAnsi="Times New Roman" w:cs="Times New Roman"/>
          <w:b/>
          <w:sz w:val="26"/>
          <w:szCs w:val="26"/>
        </w:rPr>
        <w:t>2.1. Tiêu chí và các yếu tố quyết định việc lựa biện pháp xử lý</w:t>
      </w:r>
    </w:p>
    <w:p w14:paraId="48285E2F" w14:textId="77777777" w:rsidR="00FE425C" w:rsidRPr="004E30A9" w:rsidRDefault="00FE425C" w:rsidP="00A26ADD">
      <w:pPr>
        <w:spacing w:before="120" w:after="120" w:line="276" w:lineRule="auto"/>
        <w:ind w:firstLine="709"/>
        <w:jc w:val="both"/>
        <w:rPr>
          <w:rFonts w:ascii="Times New Roman" w:hAnsi="Times New Roman" w:cs="Times New Roman"/>
          <w:sz w:val="26"/>
          <w:szCs w:val="26"/>
        </w:rPr>
      </w:pPr>
      <w:r w:rsidRPr="004E30A9">
        <w:rPr>
          <w:rFonts w:ascii="Times New Roman" w:hAnsi="Times New Roman" w:cs="Times New Roman"/>
          <w:sz w:val="26"/>
          <w:szCs w:val="26"/>
        </w:rPr>
        <w:t>Hoạt động xử lý của KDIC tuân thủ nguyên tắc chi phí tối thiểu được quy định tại Luật Bảo vệ người gửi tiền và các văn bản dưới Luật có liên quan. Theo đó, KDIC cần phải lựa chọn phương pháp xử lý có chi phí nhỏ nhất đối với Quỹ BHTG. KDIC thực hiện phân tích chi phí tối thiểu</w:t>
      </w:r>
      <w:r w:rsidRPr="004E30A9">
        <w:rPr>
          <w:rFonts w:ascii="Times New Roman" w:hAnsi="Times New Roman" w:cs="Times New Roman"/>
          <w:b/>
          <w:bCs/>
          <w:sz w:val="26"/>
          <w:szCs w:val="26"/>
        </w:rPr>
        <w:t xml:space="preserve"> </w:t>
      </w:r>
      <w:r w:rsidRPr="004E30A9">
        <w:rPr>
          <w:rFonts w:ascii="Times New Roman" w:hAnsi="Times New Roman" w:cs="Times New Roman"/>
          <w:sz w:val="26"/>
          <w:szCs w:val="26"/>
        </w:rPr>
        <w:t xml:space="preserve">bằng cách so sánh chi phí thanh lý ngân hàng đổ vỡ với chi phí của các biện pháp xử lý khác như P&amp;A, Ngân hàng bắc cầu. Để phân tích chi phí, KDIC sẽ thực hiện </w:t>
      </w:r>
      <w:r w:rsidRPr="004E30A9">
        <w:rPr>
          <w:rFonts w:ascii="Times New Roman" w:hAnsi="Times New Roman" w:cs="Times New Roman"/>
          <w:sz w:val="26"/>
          <w:szCs w:val="26"/>
        </w:rPr>
        <w:lastRenderedPageBreak/>
        <w:t>thẩm định chi tiết (due diligence)</w:t>
      </w:r>
      <w:r w:rsidRPr="004E30A9">
        <w:rPr>
          <w:rFonts w:ascii="Times New Roman" w:hAnsi="Times New Roman" w:cs="Times New Roman"/>
          <w:b/>
          <w:bCs/>
          <w:sz w:val="26"/>
          <w:szCs w:val="26"/>
        </w:rPr>
        <w:t xml:space="preserve"> </w:t>
      </w:r>
      <w:r w:rsidRPr="004E30A9">
        <w:rPr>
          <w:rFonts w:ascii="Times New Roman" w:hAnsi="Times New Roman" w:cs="Times New Roman"/>
          <w:sz w:val="26"/>
          <w:szCs w:val="26"/>
        </w:rPr>
        <w:t xml:space="preserve">tài sản và nợ của tổ chức tài chính đổ vỡ nhằm xác định liệu phương pháp được lựa chọn có đáp ứng các yêu cầu của nguyên tắc chi phí tối thiểu và để có một đánh giá khách quan về tình hình hoạt động và tài chính của ngân hàng đổ vỡ. </w:t>
      </w:r>
    </w:p>
    <w:p w14:paraId="4FB20225" w14:textId="77777777" w:rsidR="00FE425C" w:rsidRPr="004E30A9" w:rsidRDefault="00FE425C" w:rsidP="00A26ADD">
      <w:pPr>
        <w:spacing w:before="120" w:after="120" w:line="276" w:lineRule="auto"/>
        <w:ind w:firstLine="709"/>
        <w:jc w:val="both"/>
        <w:rPr>
          <w:rFonts w:ascii="Times New Roman" w:hAnsi="Times New Roman" w:cs="Times New Roman"/>
          <w:sz w:val="26"/>
          <w:szCs w:val="26"/>
        </w:rPr>
      </w:pPr>
      <w:r w:rsidRPr="004E30A9">
        <w:rPr>
          <w:rFonts w:ascii="Times New Roman" w:hAnsi="Times New Roman" w:cs="Times New Roman"/>
          <w:sz w:val="26"/>
          <w:szCs w:val="26"/>
        </w:rPr>
        <w:t>Ngoài ra, những yếu tố chính ảnh hưởng tới việc lựa chọn phương pháp xử lý phù hợp bao gồm:</w:t>
      </w:r>
    </w:p>
    <w:p w14:paraId="7B0933CF" w14:textId="77777777" w:rsidR="00FE425C" w:rsidRPr="004E30A9" w:rsidRDefault="00FE425C" w:rsidP="00A26ADD">
      <w:pPr>
        <w:spacing w:before="120" w:after="120" w:line="276" w:lineRule="auto"/>
        <w:ind w:firstLine="709"/>
        <w:jc w:val="both"/>
        <w:rPr>
          <w:rFonts w:ascii="Times New Roman" w:hAnsi="Times New Roman" w:cs="Times New Roman"/>
          <w:sz w:val="26"/>
          <w:szCs w:val="26"/>
        </w:rPr>
      </w:pPr>
      <w:r w:rsidRPr="004E30A9">
        <w:rPr>
          <w:rFonts w:ascii="Times New Roman" w:hAnsi="Times New Roman" w:cs="Times New Roman"/>
          <w:sz w:val="26"/>
          <w:szCs w:val="26"/>
        </w:rPr>
        <w:t>- Tầm quan trọng hệ thống của tổ chức tài chính đổ vỡ và tác động kinh tế của việc đóng cửa ngân hàng đó: đối với tổ chức tài chính có tầm quan trọng hệ thống, các cơ quan chức năng sẽ áp dụng phương pháp xử lý “mở” (Sát nhập và mua lại (M&amp;A) hoặc Hỗ trợ tài chính để ngân hàng tự phục hồi), trong đó, các nghiệp vụ hoặc các nghiệp vụ cơ bản của tổ chức tài chính tiếp tục được duy trì. Đối với tổ chức tài chính không có tầm quan trọng hệ thống, các cơ quan chức năng sẽ áp dụng phương pháp xử lý “đóng” (Phá sản/Thanh lý, P&amp;A, Ngân hàng bắc cầu), theo đó, tổ chức tài chính bị đóng cửa và rút khỏi hệ thống thanh toán;</w:t>
      </w:r>
    </w:p>
    <w:p w14:paraId="2B157B65" w14:textId="77777777" w:rsidR="00FE425C" w:rsidRPr="004E30A9" w:rsidRDefault="00FE425C" w:rsidP="00A26ADD">
      <w:pPr>
        <w:spacing w:before="120" w:after="120" w:line="276" w:lineRule="auto"/>
        <w:ind w:firstLine="709"/>
        <w:jc w:val="both"/>
        <w:rPr>
          <w:rFonts w:ascii="Times New Roman" w:hAnsi="Times New Roman" w:cs="Times New Roman"/>
          <w:sz w:val="26"/>
          <w:szCs w:val="26"/>
        </w:rPr>
      </w:pPr>
      <w:r w:rsidRPr="004E30A9">
        <w:rPr>
          <w:rFonts w:ascii="Times New Roman" w:hAnsi="Times New Roman" w:cs="Times New Roman"/>
          <w:sz w:val="26"/>
          <w:szCs w:val="26"/>
        </w:rPr>
        <w:t>- Mức độ thiếu vốn của tổ chức tài chính bị đổ vỡ;</w:t>
      </w:r>
    </w:p>
    <w:p w14:paraId="722B9A72" w14:textId="77777777" w:rsidR="00FE425C" w:rsidRPr="004E30A9" w:rsidRDefault="00FE425C" w:rsidP="00A26ADD">
      <w:pPr>
        <w:spacing w:before="120" w:after="120" w:line="276" w:lineRule="auto"/>
        <w:ind w:firstLine="709"/>
        <w:jc w:val="both"/>
        <w:rPr>
          <w:rFonts w:ascii="Times New Roman" w:hAnsi="Times New Roman" w:cs="Times New Roman"/>
          <w:sz w:val="26"/>
          <w:szCs w:val="26"/>
        </w:rPr>
      </w:pPr>
      <w:r w:rsidRPr="004E30A9">
        <w:rPr>
          <w:rFonts w:ascii="Times New Roman" w:hAnsi="Times New Roman" w:cs="Times New Roman"/>
          <w:sz w:val="26"/>
          <w:szCs w:val="26"/>
        </w:rPr>
        <w:t>- Sự sẵn có một ngân hàng nhận mua lại toàn bộ hoặc một phần ngân hàng đổ vỡ;</w:t>
      </w:r>
    </w:p>
    <w:p w14:paraId="0DD0EF91" w14:textId="77777777" w:rsidR="00FE425C" w:rsidRPr="004E30A9" w:rsidRDefault="00FE425C" w:rsidP="00A26ADD">
      <w:pPr>
        <w:spacing w:before="120" w:after="120" w:line="276" w:lineRule="auto"/>
        <w:ind w:firstLine="709"/>
        <w:jc w:val="both"/>
        <w:rPr>
          <w:rFonts w:ascii="Times New Roman" w:hAnsi="Times New Roman" w:cs="Times New Roman"/>
          <w:sz w:val="26"/>
          <w:szCs w:val="26"/>
        </w:rPr>
      </w:pPr>
      <w:r w:rsidRPr="004E30A9">
        <w:rPr>
          <w:rFonts w:ascii="Times New Roman" w:hAnsi="Times New Roman" w:cs="Times New Roman"/>
          <w:sz w:val="26"/>
          <w:szCs w:val="26"/>
        </w:rPr>
        <w:t>- Sự tác động đến mức độ tập trung của thị trường khi bán toàn bộ hoặc bán một phần ngân hàng đổ vỡ cho một ngân hàng khác;</w:t>
      </w:r>
    </w:p>
    <w:p w14:paraId="238353BC" w14:textId="77777777" w:rsidR="00FE425C" w:rsidRPr="004E30A9" w:rsidRDefault="00FE425C" w:rsidP="00A26ADD">
      <w:pPr>
        <w:spacing w:before="120" w:after="120" w:line="276" w:lineRule="auto"/>
        <w:ind w:firstLine="709"/>
        <w:jc w:val="both"/>
        <w:rPr>
          <w:rFonts w:ascii="Times New Roman" w:hAnsi="Times New Roman" w:cs="Times New Roman"/>
          <w:sz w:val="26"/>
          <w:szCs w:val="26"/>
        </w:rPr>
      </w:pPr>
      <w:r w:rsidRPr="004E30A9">
        <w:rPr>
          <w:rFonts w:ascii="Times New Roman" w:hAnsi="Times New Roman" w:cs="Times New Roman"/>
          <w:sz w:val="26"/>
          <w:szCs w:val="26"/>
        </w:rPr>
        <w:t xml:space="preserve"> - Phạm vi hấp thụ tổn thất và tái cấp vốn thông qua công cụ tự cứu trợ (bail-in) của một số nhóm chủ nợ nhất định;</w:t>
      </w:r>
    </w:p>
    <w:p w14:paraId="003026C5" w14:textId="77777777" w:rsidR="00FE425C" w:rsidRPr="004E30A9" w:rsidRDefault="00FE425C" w:rsidP="00A26ADD">
      <w:pPr>
        <w:spacing w:before="120" w:after="120" w:line="276" w:lineRule="auto"/>
        <w:ind w:left="720"/>
        <w:jc w:val="both"/>
        <w:rPr>
          <w:rFonts w:ascii="Times New Roman" w:hAnsi="Times New Roman" w:cs="Times New Roman"/>
          <w:sz w:val="26"/>
          <w:szCs w:val="26"/>
        </w:rPr>
      </w:pPr>
      <w:r w:rsidRPr="004E30A9">
        <w:rPr>
          <w:rFonts w:ascii="Times New Roman" w:hAnsi="Times New Roman" w:cs="Times New Roman"/>
          <w:sz w:val="26"/>
          <w:szCs w:val="26"/>
        </w:rPr>
        <w:t xml:space="preserve">- Sự sẵn có nguồn vốn công như quỹ bảo hiểm tiền gửi hoặc quỹ xử lý. </w:t>
      </w:r>
    </w:p>
    <w:p w14:paraId="524C1461" w14:textId="6D754362" w:rsidR="00FE425C" w:rsidRPr="004E30A9" w:rsidRDefault="00FE425C" w:rsidP="00A26ADD">
      <w:pPr>
        <w:spacing w:before="120" w:line="276" w:lineRule="auto"/>
        <w:ind w:left="720"/>
        <w:jc w:val="both"/>
        <w:rPr>
          <w:rFonts w:ascii="Times New Roman" w:hAnsi="Times New Roman" w:cs="Times New Roman"/>
          <w:b/>
          <w:sz w:val="26"/>
          <w:szCs w:val="26"/>
        </w:rPr>
      </w:pPr>
      <w:r w:rsidRPr="004E30A9">
        <w:rPr>
          <w:rFonts w:ascii="Times New Roman" w:hAnsi="Times New Roman" w:cs="Times New Roman"/>
          <w:b/>
          <w:sz w:val="26"/>
          <w:szCs w:val="26"/>
        </w:rPr>
        <w:t>2.2. Quy trình các bước xử lý tổ chức tài chính</w:t>
      </w:r>
    </w:p>
    <w:p w14:paraId="4BB6ABA6" w14:textId="77777777" w:rsidR="00FE425C" w:rsidRPr="004E30A9" w:rsidRDefault="00FE425C" w:rsidP="00A26ADD">
      <w:pPr>
        <w:spacing w:before="120" w:after="120" w:line="276" w:lineRule="auto"/>
        <w:ind w:firstLine="709"/>
        <w:jc w:val="both"/>
        <w:rPr>
          <w:rFonts w:ascii="Times New Roman" w:hAnsi="Times New Roman" w:cs="Times New Roman"/>
          <w:sz w:val="26"/>
          <w:szCs w:val="26"/>
        </w:rPr>
      </w:pPr>
      <w:r w:rsidRPr="004E30A9">
        <w:rPr>
          <w:rFonts w:ascii="Times New Roman" w:hAnsi="Times New Roman" w:cs="Times New Roman"/>
          <w:sz w:val="26"/>
          <w:szCs w:val="26"/>
        </w:rPr>
        <w:t>Quy trình xử lý tổ chức tài chính tại Hàn Quốc được thực hiện qua các bước chính như sau:</w:t>
      </w:r>
    </w:p>
    <w:p w14:paraId="39E3E26F" w14:textId="77777777" w:rsidR="00FE425C" w:rsidRPr="004E30A9" w:rsidRDefault="00FE425C" w:rsidP="00A26ADD">
      <w:pPr>
        <w:numPr>
          <w:ilvl w:val="0"/>
          <w:numId w:val="3"/>
        </w:numPr>
        <w:spacing w:before="120" w:after="120" w:line="276" w:lineRule="auto"/>
        <w:jc w:val="both"/>
        <w:rPr>
          <w:rFonts w:ascii="Times New Roman" w:hAnsi="Times New Roman" w:cs="Times New Roman"/>
          <w:i/>
          <w:iCs/>
          <w:sz w:val="26"/>
          <w:szCs w:val="26"/>
        </w:rPr>
      </w:pPr>
      <w:r w:rsidRPr="004E30A9">
        <w:rPr>
          <w:rFonts w:ascii="Times New Roman" w:hAnsi="Times New Roman" w:cs="Times New Roman"/>
          <w:i/>
          <w:iCs/>
          <w:sz w:val="26"/>
          <w:szCs w:val="26"/>
        </w:rPr>
        <w:t xml:space="preserve">Thực hiện hành động khắc phục kịp thời </w:t>
      </w:r>
    </w:p>
    <w:p w14:paraId="7672A213" w14:textId="77777777" w:rsidR="00FE425C" w:rsidRPr="004E30A9" w:rsidRDefault="00FE425C" w:rsidP="00A26ADD">
      <w:pPr>
        <w:spacing w:before="120" w:after="120" w:line="276" w:lineRule="auto"/>
        <w:ind w:firstLine="709"/>
        <w:jc w:val="both"/>
        <w:rPr>
          <w:rFonts w:ascii="Times New Roman" w:hAnsi="Times New Roman" w:cs="Times New Roman"/>
          <w:sz w:val="26"/>
          <w:szCs w:val="26"/>
        </w:rPr>
      </w:pPr>
      <w:r w:rsidRPr="004E30A9">
        <w:rPr>
          <w:rFonts w:ascii="Times New Roman" w:hAnsi="Times New Roman" w:cs="Times New Roman"/>
          <w:sz w:val="26"/>
          <w:szCs w:val="26"/>
        </w:rPr>
        <w:t xml:space="preserve"> Khi một tổ chức tài chính không đáp ứng được các tiêu chí nhất định liên quan đến sự lành mạnh về tài chính, tổ chức đó sẽ bị FSC đưa vào diện giới hạn hoạt động và phải tiến hành hành động khắc phục kịp thời. FSC sẽ đưa ra khuyến nghị hoặc yêu cầu/lệnh cải thiện hoạt động kinh doanh tùy theo thứ tự mức độ nghiêm trọng của vấn đề mà tổ chức tài chính gặp phải (</w:t>
      </w:r>
      <w:r w:rsidRPr="004E30A9">
        <w:rPr>
          <w:rFonts w:ascii="Times New Roman" w:hAnsi="Times New Roman" w:cs="Times New Roman"/>
          <w:i/>
          <w:iCs/>
          <w:sz w:val="26"/>
          <w:szCs w:val="26"/>
        </w:rPr>
        <w:t>cụ thể trong</w:t>
      </w:r>
      <w:r w:rsidRPr="004E30A9">
        <w:rPr>
          <w:rFonts w:ascii="Times New Roman" w:hAnsi="Times New Roman" w:cs="Times New Roman"/>
          <w:sz w:val="26"/>
          <w:szCs w:val="26"/>
        </w:rPr>
        <w:t xml:space="preserve"> </w:t>
      </w:r>
      <w:r w:rsidRPr="004E30A9">
        <w:rPr>
          <w:rFonts w:ascii="Times New Roman" w:hAnsi="Times New Roman" w:cs="Times New Roman"/>
          <w:i/>
          <w:iCs/>
          <w:sz w:val="26"/>
          <w:szCs w:val="26"/>
        </w:rPr>
        <w:t>bảng dưới đây)</w:t>
      </w:r>
      <w:r w:rsidRPr="004E30A9">
        <w:rPr>
          <w:rFonts w:ascii="Times New Roman" w:hAnsi="Times New Roman" w:cs="Times New Roman"/>
          <w:sz w:val="26"/>
          <w:szCs w:val="26"/>
        </w:rPr>
        <w:t xml:space="preserve">. </w:t>
      </w:r>
    </w:p>
    <w:p w14:paraId="26C0A65E" w14:textId="77777777" w:rsidR="00FE425C" w:rsidRPr="004E30A9" w:rsidRDefault="00FE425C" w:rsidP="00A26ADD">
      <w:pPr>
        <w:spacing w:before="120" w:after="120" w:line="276" w:lineRule="auto"/>
        <w:ind w:firstLine="709"/>
        <w:jc w:val="center"/>
        <w:rPr>
          <w:rFonts w:ascii="Times New Roman" w:hAnsi="Times New Roman" w:cs="Times New Roman"/>
          <w:b/>
          <w:bCs/>
          <w:sz w:val="26"/>
          <w:szCs w:val="26"/>
        </w:rPr>
      </w:pPr>
      <w:r w:rsidRPr="004E30A9">
        <w:rPr>
          <w:rFonts w:ascii="Times New Roman" w:hAnsi="Times New Roman" w:cs="Times New Roman"/>
          <w:b/>
          <w:bCs/>
          <w:sz w:val="26"/>
          <w:szCs w:val="26"/>
        </w:rPr>
        <w:t>Các tiêu chí và mức độ áp dụng hành động khắc phục kịp thời</w:t>
      </w:r>
    </w:p>
    <w:p w14:paraId="5FBB891E" w14:textId="46A6F233" w:rsidR="00FE425C" w:rsidRPr="004E30A9" w:rsidRDefault="00FE425C" w:rsidP="00FE425C">
      <w:pPr>
        <w:spacing w:before="120" w:after="120" w:line="300" w:lineRule="auto"/>
        <w:ind w:firstLine="709"/>
        <w:jc w:val="both"/>
        <w:rPr>
          <w:rFonts w:ascii="Times New Roman" w:hAnsi="Times New Roman" w:cs="Times New Roman"/>
          <w:sz w:val="26"/>
          <w:szCs w:val="26"/>
        </w:rPr>
      </w:pPr>
      <w:r w:rsidRPr="004E30A9">
        <w:rPr>
          <w:rFonts w:ascii="Times New Roman" w:hAnsi="Times New Roman" w:cs="Times New Roman"/>
          <w:noProof/>
          <w:sz w:val="26"/>
          <w:szCs w:val="26"/>
        </w:rPr>
        <w:lastRenderedPageBreak/>
        <w:drawing>
          <wp:anchor distT="0" distB="0" distL="114300" distR="114300" simplePos="0" relativeHeight="251658240" behindDoc="1" locked="0" layoutInCell="1" allowOverlap="1" wp14:anchorId="1B9191C9" wp14:editId="1DA24D0F">
            <wp:simplePos x="0" y="0"/>
            <wp:positionH relativeFrom="column">
              <wp:posOffset>247015</wp:posOffset>
            </wp:positionH>
            <wp:positionV relativeFrom="paragraph">
              <wp:posOffset>13335</wp:posOffset>
            </wp:positionV>
            <wp:extent cx="5494020" cy="4022725"/>
            <wp:effectExtent l="0" t="0" r="0" b="0"/>
            <wp:wrapTight wrapText="bothSides">
              <wp:wrapPolygon edited="0">
                <wp:start x="0" y="0"/>
                <wp:lineTo x="0" y="21481"/>
                <wp:lineTo x="21495" y="21481"/>
                <wp:lineTo x="21495"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94020" cy="4022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883F02" w14:textId="77777777" w:rsidR="00FE425C" w:rsidRPr="004E30A9" w:rsidRDefault="00FE425C" w:rsidP="00A26ADD">
      <w:pPr>
        <w:numPr>
          <w:ilvl w:val="0"/>
          <w:numId w:val="3"/>
        </w:numPr>
        <w:spacing w:before="120" w:after="120" w:line="276" w:lineRule="auto"/>
        <w:jc w:val="both"/>
        <w:rPr>
          <w:rFonts w:ascii="Times New Roman" w:hAnsi="Times New Roman" w:cs="Times New Roman"/>
          <w:i/>
          <w:iCs/>
          <w:sz w:val="26"/>
          <w:szCs w:val="26"/>
        </w:rPr>
      </w:pPr>
      <w:r w:rsidRPr="004E30A9">
        <w:rPr>
          <w:rFonts w:ascii="Times New Roman" w:hAnsi="Times New Roman" w:cs="Times New Roman"/>
          <w:i/>
          <w:iCs/>
          <w:sz w:val="26"/>
          <w:szCs w:val="26"/>
        </w:rPr>
        <w:t xml:space="preserve">Nộp kế hoạch tái cấu trúc </w:t>
      </w:r>
    </w:p>
    <w:p w14:paraId="5DE5F3E9" w14:textId="77777777" w:rsidR="00FE425C" w:rsidRPr="004E30A9" w:rsidRDefault="00FE425C" w:rsidP="00A26ADD">
      <w:pPr>
        <w:spacing w:before="120" w:after="120" w:line="276" w:lineRule="auto"/>
        <w:ind w:firstLine="709"/>
        <w:jc w:val="both"/>
        <w:rPr>
          <w:rFonts w:ascii="Times New Roman" w:hAnsi="Times New Roman" w:cs="Times New Roman"/>
          <w:sz w:val="26"/>
          <w:szCs w:val="26"/>
        </w:rPr>
      </w:pPr>
      <w:r w:rsidRPr="004E30A9">
        <w:rPr>
          <w:rFonts w:ascii="Times New Roman" w:hAnsi="Times New Roman" w:cs="Times New Roman"/>
          <w:sz w:val="26"/>
          <w:szCs w:val="26"/>
        </w:rPr>
        <w:t>Trong trường hợp FSC đưa ra lệnh cải thiện hoạt động kinh doanh, tổ chức tài chính phải chuẩn bị và nộp một kế hoạch tái cấu trúc trong thời gian nhất định (15 ngày) cho Ủy ban đánh giá hoạt động kinh doanh (BEC) thuộc FSS xem xét.</w:t>
      </w:r>
    </w:p>
    <w:p w14:paraId="59CB16B9" w14:textId="77777777" w:rsidR="00FE425C" w:rsidRPr="004E30A9" w:rsidRDefault="00FE425C" w:rsidP="00A26ADD">
      <w:pPr>
        <w:numPr>
          <w:ilvl w:val="0"/>
          <w:numId w:val="3"/>
        </w:numPr>
        <w:spacing w:before="120" w:after="120" w:line="276" w:lineRule="auto"/>
        <w:jc w:val="both"/>
        <w:rPr>
          <w:rFonts w:ascii="Times New Roman" w:hAnsi="Times New Roman" w:cs="Times New Roman"/>
          <w:i/>
          <w:iCs/>
          <w:sz w:val="26"/>
          <w:szCs w:val="26"/>
        </w:rPr>
      </w:pPr>
      <w:r w:rsidRPr="004E30A9">
        <w:rPr>
          <w:rFonts w:ascii="Times New Roman" w:hAnsi="Times New Roman" w:cs="Times New Roman"/>
          <w:i/>
          <w:iCs/>
          <w:sz w:val="26"/>
          <w:szCs w:val="26"/>
        </w:rPr>
        <w:t>Lệnh cải thiện hoạt động và tuyên bố mất khả năng thanh toán</w:t>
      </w:r>
    </w:p>
    <w:p w14:paraId="5F339251" w14:textId="77777777" w:rsidR="00FE425C" w:rsidRPr="004E30A9" w:rsidRDefault="00FE425C" w:rsidP="00A26ADD">
      <w:pPr>
        <w:spacing w:before="120" w:after="120" w:line="276" w:lineRule="auto"/>
        <w:ind w:firstLine="709"/>
        <w:jc w:val="both"/>
        <w:rPr>
          <w:rFonts w:ascii="Times New Roman" w:hAnsi="Times New Roman" w:cs="Times New Roman"/>
          <w:sz w:val="26"/>
          <w:szCs w:val="26"/>
        </w:rPr>
      </w:pPr>
      <w:r w:rsidRPr="004E30A9">
        <w:rPr>
          <w:rFonts w:ascii="Times New Roman" w:hAnsi="Times New Roman" w:cs="Times New Roman"/>
          <w:sz w:val="26"/>
          <w:szCs w:val="26"/>
        </w:rPr>
        <w:t xml:space="preserve">Trong trường hợp kế hoạch tái cấu trúc bị FSS bác bỏ, thì lệnh cải thiện hoạt động được xác nhận và tổ chức tài chính được FSC tuyên bố là mất khả năng thanh toán.  </w:t>
      </w:r>
    </w:p>
    <w:p w14:paraId="588128D5" w14:textId="77777777" w:rsidR="00FE425C" w:rsidRPr="004E30A9" w:rsidRDefault="00FE425C" w:rsidP="00A26ADD">
      <w:pPr>
        <w:numPr>
          <w:ilvl w:val="0"/>
          <w:numId w:val="3"/>
        </w:numPr>
        <w:spacing w:before="120" w:after="120" w:line="276" w:lineRule="auto"/>
        <w:jc w:val="both"/>
        <w:rPr>
          <w:rFonts w:ascii="Times New Roman" w:hAnsi="Times New Roman" w:cs="Times New Roman"/>
          <w:sz w:val="26"/>
          <w:szCs w:val="26"/>
        </w:rPr>
      </w:pPr>
      <w:r w:rsidRPr="004E30A9">
        <w:rPr>
          <w:rFonts w:ascii="Times New Roman" w:hAnsi="Times New Roman" w:cs="Times New Roman"/>
          <w:i/>
          <w:iCs/>
          <w:sz w:val="26"/>
          <w:szCs w:val="26"/>
        </w:rPr>
        <w:t>Tiếp quản hoạt động của tổ chức tài chính bị đổ vỡ</w:t>
      </w:r>
    </w:p>
    <w:p w14:paraId="6E08536F" w14:textId="77777777" w:rsidR="00FE425C" w:rsidRPr="004E30A9" w:rsidRDefault="00FE425C" w:rsidP="00A26ADD">
      <w:pPr>
        <w:spacing w:before="120" w:after="120" w:line="276" w:lineRule="auto"/>
        <w:ind w:firstLine="709"/>
        <w:jc w:val="both"/>
        <w:rPr>
          <w:rFonts w:ascii="Times New Roman" w:hAnsi="Times New Roman" w:cs="Times New Roman"/>
          <w:sz w:val="26"/>
          <w:szCs w:val="26"/>
        </w:rPr>
      </w:pPr>
      <w:r w:rsidRPr="004E30A9">
        <w:rPr>
          <w:rFonts w:ascii="Times New Roman" w:hAnsi="Times New Roman" w:cs="Times New Roman"/>
          <w:sz w:val="26"/>
          <w:szCs w:val="26"/>
        </w:rPr>
        <w:t xml:space="preserve">FSC chỉ định một bên tiếp quản nhằm giám sát các hoạt động hàng ngày của tổ chức tài chính đổ vỡ, quản lý tài sản và bán thanh lý tài sản nếu cần thiết.  </w:t>
      </w:r>
    </w:p>
    <w:p w14:paraId="5075C448" w14:textId="77777777" w:rsidR="00FE425C" w:rsidRPr="004E30A9" w:rsidRDefault="00FE425C" w:rsidP="00A26ADD">
      <w:pPr>
        <w:spacing w:before="120" w:after="120" w:line="276" w:lineRule="auto"/>
        <w:ind w:firstLine="709"/>
        <w:jc w:val="both"/>
        <w:rPr>
          <w:rFonts w:ascii="Times New Roman" w:hAnsi="Times New Roman" w:cs="Times New Roman"/>
          <w:i/>
          <w:iCs/>
          <w:sz w:val="26"/>
          <w:szCs w:val="26"/>
        </w:rPr>
      </w:pPr>
      <w:r w:rsidRPr="004E30A9">
        <w:rPr>
          <w:rFonts w:ascii="Times New Roman" w:hAnsi="Times New Roman" w:cs="Times New Roman"/>
          <w:i/>
          <w:iCs/>
          <w:sz w:val="26"/>
          <w:szCs w:val="26"/>
        </w:rPr>
        <w:t>- Xác định biện pháp xử lý phù hợp và thực hiện biện pháp xử lý được lựa chọn</w:t>
      </w:r>
    </w:p>
    <w:p w14:paraId="50F7DAD8" w14:textId="77777777" w:rsidR="00FE425C" w:rsidRPr="004E30A9" w:rsidRDefault="00FE425C" w:rsidP="00A26ADD">
      <w:pPr>
        <w:spacing w:before="120" w:after="120" w:line="276" w:lineRule="auto"/>
        <w:ind w:firstLine="709"/>
        <w:jc w:val="both"/>
        <w:rPr>
          <w:rFonts w:ascii="Times New Roman" w:hAnsi="Times New Roman" w:cs="Times New Roman"/>
          <w:sz w:val="26"/>
          <w:szCs w:val="26"/>
        </w:rPr>
      </w:pPr>
      <w:r w:rsidRPr="004E30A9">
        <w:rPr>
          <w:rFonts w:ascii="Times New Roman" w:hAnsi="Times New Roman" w:cs="Times New Roman"/>
          <w:sz w:val="26"/>
          <w:szCs w:val="26"/>
        </w:rPr>
        <w:t xml:space="preserve">Dựa trên cơ sở thẩm định chi tiết (due diligence) tài sản và nợ của tổ chức tài chính đổ vỡ, KDIC sẽ tiến hành phân tích chi phí tối thiểu cũng như xem xét các yếu tố khác, đặc biệt là xem xét rủi ro hệ thống để lựa chọn biện pháp xử lý phù hợp trong số các biện pháp: phá sản/Thanh lý, P&amp;A, ngân hàng bắc cầu, hỗ trợ tài chính, M&amp;A. </w:t>
      </w:r>
    </w:p>
    <w:p w14:paraId="4F935E65" w14:textId="77777777" w:rsidR="00FE425C" w:rsidRPr="004E30A9" w:rsidRDefault="00FE425C" w:rsidP="00FE425C">
      <w:pPr>
        <w:spacing w:before="120" w:after="120" w:line="300" w:lineRule="auto"/>
        <w:jc w:val="center"/>
        <w:rPr>
          <w:rFonts w:ascii="Times New Roman" w:hAnsi="Times New Roman" w:cs="Times New Roman"/>
          <w:b/>
          <w:sz w:val="26"/>
          <w:szCs w:val="26"/>
        </w:rPr>
      </w:pPr>
      <w:r w:rsidRPr="004E30A9">
        <w:rPr>
          <w:rFonts w:ascii="Times New Roman" w:hAnsi="Times New Roman" w:cs="Times New Roman"/>
          <w:b/>
          <w:sz w:val="26"/>
          <w:szCs w:val="26"/>
        </w:rPr>
        <w:t>Sơ đồ quyết định lựa chọn biện pháp xử lý</w:t>
      </w:r>
    </w:p>
    <w:p w14:paraId="63991EEF" w14:textId="5C0F6F8E" w:rsidR="00FE425C" w:rsidRPr="004E30A9" w:rsidRDefault="00FE425C" w:rsidP="00FE425C">
      <w:pPr>
        <w:spacing w:before="120" w:after="120" w:line="300" w:lineRule="auto"/>
        <w:ind w:firstLine="709"/>
        <w:jc w:val="both"/>
        <w:rPr>
          <w:rFonts w:ascii="Times New Roman" w:hAnsi="Times New Roman" w:cs="Times New Roman"/>
          <w:sz w:val="26"/>
          <w:szCs w:val="26"/>
        </w:rPr>
      </w:pPr>
      <w:r w:rsidRPr="004E30A9">
        <w:rPr>
          <w:rFonts w:ascii="Times New Roman" w:hAnsi="Times New Roman" w:cs="Times New Roman"/>
          <w:noProof/>
          <w:sz w:val="26"/>
          <w:szCs w:val="26"/>
        </w:rPr>
        <w:lastRenderedPageBreak/>
        <w:drawing>
          <wp:inline distT="0" distB="0" distL="0" distR="0" wp14:anchorId="3A928A49" wp14:editId="01FCD8A2">
            <wp:extent cx="4864100" cy="27736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64100" cy="2773680"/>
                    </a:xfrm>
                    <a:prstGeom prst="rect">
                      <a:avLst/>
                    </a:prstGeom>
                    <a:noFill/>
                    <a:ln>
                      <a:noFill/>
                    </a:ln>
                  </pic:spPr>
                </pic:pic>
              </a:graphicData>
            </a:graphic>
          </wp:inline>
        </w:drawing>
      </w:r>
    </w:p>
    <w:p w14:paraId="0444934A" w14:textId="77777777" w:rsidR="00FE425C" w:rsidRPr="004E30A9" w:rsidRDefault="00FE425C" w:rsidP="00A26ADD">
      <w:pPr>
        <w:spacing w:before="120" w:after="120" w:line="276" w:lineRule="auto"/>
        <w:ind w:firstLine="709"/>
        <w:jc w:val="both"/>
        <w:rPr>
          <w:rFonts w:ascii="Times New Roman" w:hAnsi="Times New Roman" w:cs="Times New Roman"/>
          <w:sz w:val="26"/>
          <w:szCs w:val="26"/>
        </w:rPr>
      </w:pPr>
      <w:r w:rsidRPr="004E30A9">
        <w:rPr>
          <w:rFonts w:ascii="Times New Roman" w:hAnsi="Times New Roman" w:cs="Times New Roman"/>
          <w:sz w:val="26"/>
          <w:szCs w:val="26"/>
        </w:rPr>
        <w:t xml:space="preserve">Sau khi lựa chọn biện pháp xử lý, KDIC đề nghị FSC ra quyết định xử lý và KDIC sẽ tiến hành thực hiện biện pháp xử lý được lựa chọn. </w:t>
      </w:r>
    </w:p>
    <w:p w14:paraId="55D336E7" w14:textId="77777777" w:rsidR="00FE425C" w:rsidRPr="004E30A9" w:rsidRDefault="00FE425C" w:rsidP="00A26ADD">
      <w:pPr>
        <w:spacing w:before="120" w:after="120" w:line="276" w:lineRule="auto"/>
        <w:ind w:firstLine="709"/>
        <w:jc w:val="both"/>
        <w:rPr>
          <w:rFonts w:ascii="Times New Roman" w:hAnsi="Times New Roman" w:cs="Times New Roman"/>
          <w:sz w:val="26"/>
          <w:szCs w:val="26"/>
        </w:rPr>
      </w:pPr>
      <w:r w:rsidRPr="004E30A9">
        <w:rPr>
          <w:rFonts w:ascii="Times New Roman" w:hAnsi="Times New Roman" w:cs="Times New Roman"/>
          <w:sz w:val="26"/>
          <w:szCs w:val="26"/>
        </w:rPr>
        <w:t xml:space="preserve">Trong trường hợp biện pháp hỗ trợ tài chính được thực hiện, tổ chức tài chính tiếp nhận vốn dưới dạng đầu tư cổ phần, góp vốn,…từ KDIC. Đổi lại, tổ chức tài chính phải ký một thỏa thuận với KDIC trong đó cam kết thực hiện tái cơ cấu hoạt động kinh doanh. Hàng quý, KDIC sẽ tiến hành đánh giá về hoạt động và tiến độ thực hiện thỏa thuận mà tổ chức tài chính đã ký với KDIC. </w:t>
      </w:r>
    </w:p>
    <w:p w14:paraId="22EE1E87" w14:textId="430D3AAF" w:rsidR="00FE425C" w:rsidRPr="004E30A9" w:rsidRDefault="00FE425C" w:rsidP="00A26ADD">
      <w:pPr>
        <w:spacing w:before="120" w:line="276" w:lineRule="auto"/>
        <w:ind w:left="720"/>
        <w:jc w:val="both"/>
        <w:rPr>
          <w:rFonts w:ascii="Times New Roman" w:hAnsi="Times New Roman" w:cs="Times New Roman"/>
          <w:b/>
          <w:sz w:val="26"/>
          <w:szCs w:val="26"/>
        </w:rPr>
      </w:pPr>
      <w:r w:rsidRPr="004E30A9">
        <w:rPr>
          <w:rFonts w:ascii="Times New Roman" w:hAnsi="Times New Roman" w:cs="Times New Roman"/>
          <w:b/>
          <w:sz w:val="26"/>
          <w:szCs w:val="26"/>
        </w:rPr>
        <w:t>2.3. Lập kế hoạch xử lý các tổ chức tài chính có tầm quan trọng hệ thống</w:t>
      </w:r>
    </w:p>
    <w:p w14:paraId="2415D605" w14:textId="77777777" w:rsidR="00FE425C" w:rsidRPr="004E30A9" w:rsidRDefault="00FE425C" w:rsidP="00A26ADD">
      <w:pPr>
        <w:spacing w:before="120" w:after="120" w:line="276" w:lineRule="auto"/>
        <w:ind w:firstLine="709"/>
        <w:jc w:val="both"/>
        <w:rPr>
          <w:rFonts w:ascii="Times New Roman" w:hAnsi="Times New Roman" w:cs="Times New Roman"/>
          <w:b/>
          <w:bCs/>
          <w:i/>
          <w:iCs/>
          <w:sz w:val="26"/>
          <w:szCs w:val="26"/>
        </w:rPr>
      </w:pPr>
      <w:r w:rsidRPr="004E30A9">
        <w:rPr>
          <w:rFonts w:ascii="Times New Roman" w:hAnsi="Times New Roman" w:cs="Times New Roman"/>
          <w:b/>
          <w:bCs/>
          <w:i/>
          <w:iCs/>
          <w:sz w:val="26"/>
          <w:szCs w:val="26"/>
        </w:rPr>
        <w:t>Quy trình lập và phê duyệt kế hoạch xử lý</w:t>
      </w:r>
    </w:p>
    <w:p w14:paraId="74C04166" w14:textId="77777777" w:rsidR="00FE425C" w:rsidRPr="004E30A9" w:rsidRDefault="00FE425C" w:rsidP="00A26ADD">
      <w:pPr>
        <w:spacing w:before="120" w:after="120" w:line="276" w:lineRule="auto"/>
        <w:ind w:firstLine="709"/>
        <w:jc w:val="both"/>
        <w:rPr>
          <w:rFonts w:ascii="Times New Roman" w:hAnsi="Times New Roman" w:cs="Times New Roman"/>
          <w:sz w:val="26"/>
          <w:szCs w:val="26"/>
        </w:rPr>
      </w:pPr>
      <w:r w:rsidRPr="004E30A9">
        <w:rPr>
          <w:rFonts w:ascii="Times New Roman" w:hAnsi="Times New Roman" w:cs="Times New Roman"/>
          <w:sz w:val="26"/>
          <w:szCs w:val="26"/>
        </w:rPr>
        <w:t>Tại Hàn Quốc, việc xử lý các tổ chức tài chính có tầm quan trọng hệ thống (SIFI) cần phải dựa trên kế hoạch xử lý được lập trước, nhằm đảm bảo quá trình này được thực hiện một cách có trật tự và hạn chế tối đa tác động đến thị trường. Theo quy định, KDIC có trách nhiệm lập và nộp kế hoạch xử lý cho FSC. Một ủy ban của FSC sẽ đánh giá tính khả thi của kế hoạch này. Trong vòng 02 tháng kể từ khi nhận được kế hoạch, FSC phải đưa ra quyết định về việc phê duyệt kế hoạch xử lý của KDIC và thông báo kết quả cho KDIC. Trong trường hợp cần sửa đổi, KDIC sẽ tiếp nhận ý kiến của FSC và điều chỉnh kế hoạch xử lý tương ứng để tiếp tục trình FSC xem xét.</w:t>
      </w:r>
    </w:p>
    <w:p w14:paraId="0E99E01E" w14:textId="77777777" w:rsidR="00FE425C" w:rsidRPr="004E30A9" w:rsidRDefault="00FE425C" w:rsidP="00A26ADD">
      <w:pPr>
        <w:spacing w:before="120" w:after="120" w:line="276" w:lineRule="auto"/>
        <w:ind w:firstLine="709"/>
        <w:jc w:val="both"/>
        <w:rPr>
          <w:rFonts w:ascii="Times New Roman" w:hAnsi="Times New Roman" w:cs="Times New Roman"/>
          <w:b/>
          <w:bCs/>
          <w:i/>
          <w:iCs/>
          <w:sz w:val="26"/>
          <w:szCs w:val="26"/>
        </w:rPr>
      </w:pPr>
      <w:r w:rsidRPr="004E30A9">
        <w:rPr>
          <w:rFonts w:ascii="Times New Roman" w:hAnsi="Times New Roman" w:cs="Times New Roman"/>
          <w:b/>
          <w:bCs/>
          <w:i/>
          <w:iCs/>
          <w:sz w:val="26"/>
          <w:szCs w:val="26"/>
        </w:rPr>
        <w:t>Nội dung của kế hoạch xử lý</w:t>
      </w:r>
    </w:p>
    <w:p w14:paraId="40378E54" w14:textId="77777777" w:rsidR="00FE425C" w:rsidRPr="004E30A9" w:rsidRDefault="00FE425C" w:rsidP="00A26ADD">
      <w:pPr>
        <w:spacing w:before="120" w:after="120" w:line="276" w:lineRule="auto"/>
        <w:ind w:firstLine="709"/>
        <w:jc w:val="both"/>
        <w:rPr>
          <w:rFonts w:ascii="Times New Roman" w:hAnsi="Times New Roman" w:cs="Times New Roman"/>
          <w:sz w:val="26"/>
          <w:szCs w:val="26"/>
        </w:rPr>
      </w:pPr>
      <w:r w:rsidRPr="004E30A9">
        <w:rPr>
          <w:rFonts w:ascii="Times New Roman" w:hAnsi="Times New Roman" w:cs="Times New Roman"/>
          <w:sz w:val="26"/>
          <w:szCs w:val="26"/>
        </w:rPr>
        <w:t>Năm nội dung chính của kế hoạch xử lý tại Hàn Quốc bao gồm:</w:t>
      </w:r>
    </w:p>
    <w:p w14:paraId="2E5C0588" w14:textId="77777777" w:rsidR="00FE425C" w:rsidRPr="004E30A9" w:rsidRDefault="00FE425C" w:rsidP="00A26ADD">
      <w:pPr>
        <w:spacing w:before="120" w:after="120" w:line="276" w:lineRule="auto"/>
        <w:ind w:firstLine="709"/>
        <w:jc w:val="both"/>
        <w:rPr>
          <w:rFonts w:ascii="Times New Roman" w:hAnsi="Times New Roman" w:cs="Times New Roman"/>
          <w:sz w:val="26"/>
          <w:szCs w:val="26"/>
        </w:rPr>
      </w:pPr>
      <w:r w:rsidRPr="004E30A9">
        <w:rPr>
          <w:rFonts w:ascii="Times New Roman" w:hAnsi="Times New Roman" w:cs="Times New Roman"/>
          <w:sz w:val="26"/>
          <w:szCs w:val="26"/>
        </w:rPr>
        <w:t>- Phân tích hoạt động chiến lược nhằm lựa chọn chiến lược xử lý tối ưu. Theo đó, KDIC phân tích: (i) cơ cấu tổ chức và tình hình tài chính, (ii) tính liên kết với các tổ chức khác trong ngành, và (iii) các pháp nhân và chức năng quan trọng, các hoạt động kinh doanh cốt lõi và các dịch vụ trọng yếu có liên quan đến tổ chức khác.</w:t>
      </w:r>
    </w:p>
    <w:p w14:paraId="1B4D0428" w14:textId="77777777" w:rsidR="00FE425C" w:rsidRPr="004E30A9" w:rsidRDefault="00FE425C" w:rsidP="00A26ADD">
      <w:pPr>
        <w:spacing w:before="120" w:after="120" w:line="276" w:lineRule="auto"/>
        <w:ind w:firstLine="709"/>
        <w:jc w:val="both"/>
        <w:rPr>
          <w:rFonts w:ascii="Times New Roman" w:hAnsi="Times New Roman" w:cs="Times New Roman"/>
          <w:sz w:val="26"/>
          <w:szCs w:val="26"/>
        </w:rPr>
      </w:pPr>
      <w:r w:rsidRPr="004E30A9">
        <w:rPr>
          <w:rFonts w:ascii="Times New Roman" w:hAnsi="Times New Roman" w:cs="Times New Roman"/>
          <w:sz w:val="26"/>
          <w:szCs w:val="26"/>
        </w:rPr>
        <w:lastRenderedPageBreak/>
        <w:t>- Cụ thể hóa chiến lược xử lý nhằm duy trì các chức năng trọng yếu của tổ chức được xử lý và không gây gián đoạn thị trường tài chính thông qua việc lập kế hoạch tái cấu trúc cho từng tình huống cụ thể.</w:t>
      </w:r>
    </w:p>
    <w:p w14:paraId="74A52C86" w14:textId="77777777" w:rsidR="00FE425C" w:rsidRPr="004E30A9" w:rsidRDefault="00FE425C" w:rsidP="00A26ADD">
      <w:pPr>
        <w:spacing w:before="120" w:after="120" w:line="276" w:lineRule="auto"/>
        <w:ind w:firstLine="709"/>
        <w:jc w:val="both"/>
        <w:rPr>
          <w:rFonts w:ascii="Times New Roman" w:hAnsi="Times New Roman" w:cs="Times New Roman"/>
          <w:sz w:val="26"/>
          <w:szCs w:val="26"/>
        </w:rPr>
      </w:pPr>
      <w:r w:rsidRPr="004E30A9">
        <w:rPr>
          <w:rFonts w:ascii="Times New Roman" w:hAnsi="Times New Roman" w:cs="Times New Roman"/>
          <w:sz w:val="26"/>
          <w:szCs w:val="26"/>
        </w:rPr>
        <w:t>- Chuẩn bị sẵn nguồn vốn xử lý và các biện pháp duy trì hoạt động của tổ chức được xử lý nhằm đảm bảo việc xử lý thành công thông qua việc rà soát và chuẩn bị: (i) nguồn vốn tự có/được cấp để xử lý, và (ii) phương thức duy trì các chức năng quan trọng và các dịch vụ trọng yếu có liên quan đến tổ chức khác.</w:t>
      </w:r>
    </w:p>
    <w:p w14:paraId="7FAA0125" w14:textId="77777777" w:rsidR="00FE425C" w:rsidRPr="004E30A9" w:rsidRDefault="00FE425C" w:rsidP="00A26ADD">
      <w:pPr>
        <w:spacing w:before="120" w:after="120" w:line="276" w:lineRule="auto"/>
        <w:ind w:firstLine="709"/>
        <w:jc w:val="both"/>
        <w:rPr>
          <w:rFonts w:ascii="Times New Roman" w:hAnsi="Times New Roman" w:cs="Times New Roman"/>
          <w:sz w:val="26"/>
          <w:szCs w:val="26"/>
        </w:rPr>
      </w:pPr>
      <w:r w:rsidRPr="004E30A9">
        <w:rPr>
          <w:rFonts w:ascii="Times New Roman" w:hAnsi="Times New Roman" w:cs="Times New Roman"/>
          <w:sz w:val="26"/>
          <w:szCs w:val="26"/>
        </w:rPr>
        <w:t>- Lập kế hoạch truyền thông và chia sẻ thông tin nhằm đảm bảo thông tin liên lạc kịp thời và chính xác giữa KDIC, SIFI và các bên liên quan khác trong quá trình xử lý. Theo đó, chiến lược xử lý của KDIC xác định rõ: (i) cơ quan đưa ra quyết định và vai trò của cơ quan này đối với SIFI và các cơ quan tham gia xử lý, và (ii) kế hoạch truyền thông với các bên liên quan bao gồm người gửi tiền và các bên có liên quan để ngăn ngừa tình trạng hoảng loạn trên thị trường.</w:t>
      </w:r>
    </w:p>
    <w:p w14:paraId="37FADB02" w14:textId="77777777" w:rsidR="00FE425C" w:rsidRPr="004E30A9" w:rsidRDefault="00FE425C" w:rsidP="00A26ADD">
      <w:pPr>
        <w:spacing w:before="120" w:after="120" w:line="276" w:lineRule="auto"/>
        <w:ind w:firstLine="709"/>
        <w:jc w:val="both"/>
        <w:rPr>
          <w:rFonts w:ascii="Times New Roman" w:hAnsi="Times New Roman" w:cs="Times New Roman"/>
          <w:sz w:val="26"/>
          <w:szCs w:val="26"/>
        </w:rPr>
      </w:pPr>
      <w:r w:rsidRPr="004E30A9">
        <w:rPr>
          <w:rFonts w:ascii="Times New Roman" w:hAnsi="Times New Roman" w:cs="Times New Roman"/>
          <w:sz w:val="26"/>
          <w:szCs w:val="26"/>
        </w:rPr>
        <w:t>- Đánh giá khả năng xử lý nhằm xác định và giải quyết bất kỳ trở ngại nào đối với việc thực hiện chiến lược xử lý đã chọn.</w:t>
      </w:r>
    </w:p>
    <w:p w14:paraId="2DB0AB3A" w14:textId="74666467" w:rsidR="00FE425C" w:rsidRPr="004E30A9" w:rsidRDefault="00FE425C" w:rsidP="00A26ADD">
      <w:pPr>
        <w:spacing w:before="120" w:line="276" w:lineRule="auto"/>
        <w:ind w:left="720"/>
        <w:jc w:val="both"/>
        <w:rPr>
          <w:rFonts w:ascii="Times New Roman" w:hAnsi="Times New Roman" w:cs="Times New Roman"/>
          <w:b/>
          <w:sz w:val="26"/>
          <w:szCs w:val="26"/>
        </w:rPr>
      </w:pPr>
      <w:r w:rsidRPr="004E30A9">
        <w:rPr>
          <w:rFonts w:ascii="Times New Roman" w:hAnsi="Times New Roman" w:cs="Times New Roman"/>
          <w:b/>
          <w:sz w:val="26"/>
          <w:szCs w:val="26"/>
        </w:rPr>
        <w:t>2.4. Khái quát các biện pháp xử lý của KDIC</w:t>
      </w:r>
    </w:p>
    <w:p w14:paraId="6DA59F31" w14:textId="77777777" w:rsidR="00FE425C" w:rsidRPr="004E30A9" w:rsidRDefault="00FE425C" w:rsidP="00A26ADD">
      <w:pPr>
        <w:spacing w:before="120" w:after="120" w:line="276" w:lineRule="auto"/>
        <w:ind w:firstLine="709"/>
        <w:jc w:val="both"/>
        <w:rPr>
          <w:rFonts w:ascii="Times New Roman" w:hAnsi="Times New Roman" w:cs="Times New Roman"/>
          <w:sz w:val="26"/>
          <w:szCs w:val="26"/>
        </w:rPr>
      </w:pPr>
      <w:r w:rsidRPr="004E30A9">
        <w:rPr>
          <w:rFonts w:ascii="Times New Roman" w:hAnsi="Times New Roman" w:cs="Times New Roman"/>
          <w:sz w:val="26"/>
          <w:szCs w:val="26"/>
        </w:rPr>
        <w:t>Các biện pháp xử lý mà KDIC lựa chọn và thực hiện có thể chia thành 02 nhóm: các biện pháp xử lý “đóng” và các biện pháp xử lý “mở”:</w:t>
      </w:r>
    </w:p>
    <w:p w14:paraId="05D913D0" w14:textId="77777777" w:rsidR="00FE425C" w:rsidRPr="004E30A9" w:rsidRDefault="00FE425C" w:rsidP="00A26ADD">
      <w:pPr>
        <w:spacing w:before="120" w:after="120" w:line="276" w:lineRule="auto"/>
        <w:ind w:firstLine="709"/>
        <w:jc w:val="both"/>
        <w:rPr>
          <w:rFonts w:ascii="Times New Roman" w:hAnsi="Times New Roman" w:cs="Times New Roman"/>
          <w:sz w:val="26"/>
          <w:szCs w:val="26"/>
        </w:rPr>
      </w:pPr>
      <w:r w:rsidRPr="004E30A9">
        <w:rPr>
          <w:rFonts w:ascii="Times New Roman" w:hAnsi="Times New Roman" w:cs="Times New Roman"/>
          <w:sz w:val="26"/>
          <w:szCs w:val="26"/>
        </w:rPr>
        <w:t xml:space="preserve">- Các biện pháp xử lý “đóng”: tổ chức tài chính đổ vỡ bị đóng cửa và được rút khỏi hệ thống thanh toán. Người gửi tiền được bảo hiểm được chi trả hoặc tài khoản tiền gửi của họ được chuyển sang tổ chức tài chính khác đang hoạt động ((P&amp;A) hoặc ngân hàng bắc cầu. Tài sản của tổ chức tài chính đổ vỡ hoặc được bán cho tổ chức tài chính khác hay chuyển sang ngân hàng bắc cầu, hoặc được thanh lý theo thủ tục đóng cửa, phá sản tổ chức tài chính. </w:t>
      </w:r>
    </w:p>
    <w:p w14:paraId="73D9D386" w14:textId="77777777" w:rsidR="00FE425C" w:rsidRPr="004E30A9" w:rsidRDefault="00FE425C" w:rsidP="00A26ADD">
      <w:pPr>
        <w:spacing w:before="120" w:after="120" w:line="276" w:lineRule="auto"/>
        <w:ind w:firstLine="709"/>
        <w:jc w:val="both"/>
        <w:rPr>
          <w:rFonts w:ascii="Times New Roman" w:hAnsi="Times New Roman" w:cs="Times New Roman"/>
          <w:sz w:val="26"/>
          <w:szCs w:val="26"/>
        </w:rPr>
      </w:pPr>
      <w:r w:rsidRPr="004E30A9">
        <w:rPr>
          <w:rFonts w:ascii="Times New Roman" w:hAnsi="Times New Roman" w:cs="Times New Roman"/>
          <w:sz w:val="26"/>
          <w:szCs w:val="26"/>
        </w:rPr>
        <w:t>- Các biện pháp xử lý “mở”: tất cả các nghiệp vụ hoặc các nghiệp vụ cơ bản của tổ chức tài chính vẫn được tiếp tục hoạt động thông qua một số hình thức tái cấp vốn bắt buộc: ghi giảm nợ hoặc chuyển đổi nợ của tổ chức tài chính đổ vỡ thành vốn cổ phần; tổ chức tài chính khác mua lại tổ chức đổ vỡ hoặc bơm vốn cho tổ chức đổ vỡ; chuyển một số nợ của tổ chức tài chính đổ vỡ sang tổ chức tài chính khác...</w:t>
      </w:r>
    </w:p>
    <w:p w14:paraId="0694A808" w14:textId="77777777" w:rsidR="00FE425C" w:rsidRPr="004E30A9" w:rsidRDefault="00FE425C" w:rsidP="00A26ADD">
      <w:pPr>
        <w:spacing w:before="120" w:after="120" w:line="276" w:lineRule="auto"/>
        <w:ind w:firstLine="709"/>
        <w:jc w:val="both"/>
        <w:rPr>
          <w:rFonts w:ascii="Times New Roman" w:hAnsi="Times New Roman" w:cs="Times New Roman"/>
          <w:b/>
          <w:bCs/>
          <w:i/>
          <w:iCs/>
          <w:sz w:val="26"/>
          <w:szCs w:val="26"/>
        </w:rPr>
      </w:pPr>
      <w:r w:rsidRPr="004E30A9">
        <w:rPr>
          <w:rFonts w:ascii="Times New Roman" w:hAnsi="Times New Roman" w:cs="Times New Roman"/>
          <w:b/>
          <w:bCs/>
          <w:i/>
          <w:iCs/>
          <w:sz w:val="26"/>
          <w:szCs w:val="26"/>
        </w:rPr>
        <w:t>* Các biện pháp xử lý “đóng”</w:t>
      </w:r>
    </w:p>
    <w:p w14:paraId="0FFEE133" w14:textId="77777777" w:rsidR="00FE425C" w:rsidRPr="004E30A9" w:rsidRDefault="00FE425C" w:rsidP="00A26ADD">
      <w:pPr>
        <w:spacing w:before="120" w:after="120" w:line="276" w:lineRule="auto"/>
        <w:ind w:firstLine="709"/>
        <w:jc w:val="both"/>
        <w:rPr>
          <w:rFonts w:ascii="Times New Roman" w:hAnsi="Times New Roman" w:cs="Times New Roman"/>
          <w:i/>
          <w:iCs/>
          <w:sz w:val="26"/>
          <w:szCs w:val="26"/>
        </w:rPr>
      </w:pPr>
      <w:r w:rsidRPr="004E30A9">
        <w:rPr>
          <w:rFonts w:ascii="Times New Roman" w:hAnsi="Times New Roman" w:cs="Times New Roman"/>
          <w:i/>
          <w:iCs/>
          <w:sz w:val="26"/>
          <w:szCs w:val="26"/>
        </w:rPr>
        <w:t>- Phá sản/Thanh lý</w:t>
      </w:r>
    </w:p>
    <w:p w14:paraId="40120E09" w14:textId="77777777" w:rsidR="00FE425C" w:rsidRPr="004E30A9" w:rsidRDefault="00FE425C" w:rsidP="00A26ADD">
      <w:pPr>
        <w:spacing w:before="120" w:after="120" w:line="276" w:lineRule="auto"/>
        <w:ind w:firstLine="709"/>
        <w:jc w:val="both"/>
        <w:rPr>
          <w:rFonts w:ascii="Times New Roman" w:hAnsi="Times New Roman" w:cs="Times New Roman"/>
          <w:sz w:val="26"/>
          <w:szCs w:val="26"/>
        </w:rPr>
      </w:pPr>
      <w:r w:rsidRPr="004E30A9">
        <w:rPr>
          <w:rFonts w:ascii="Times New Roman" w:hAnsi="Times New Roman" w:cs="Times New Roman"/>
          <w:sz w:val="26"/>
          <w:szCs w:val="26"/>
        </w:rPr>
        <w:t xml:space="preserve">Sau khi chi trả cho người gửi tiền, tổ chức đổ vỡ bị tuyên bố phá sản và toàn bộ tài sản của tổ chức này bị thanh lý. Biện pháp này được KDIC sử dụng trong trường hợp tổ chức có quy mô tương đối nhỏ và không có tầm quan trọng đối hệ thống và khi không có tổ chức nào quan tâm đến việc mua lại và tiếp nhận tổ chức đổ vỡ quan tâm. </w:t>
      </w:r>
    </w:p>
    <w:p w14:paraId="0FB14511" w14:textId="77777777" w:rsidR="00FE425C" w:rsidRPr="004E30A9" w:rsidRDefault="00FE425C" w:rsidP="00FE425C">
      <w:pPr>
        <w:spacing w:before="120" w:after="120" w:line="300" w:lineRule="auto"/>
        <w:jc w:val="center"/>
        <w:rPr>
          <w:rFonts w:ascii="Times New Roman" w:hAnsi="Times New Roman" w:cs="Times New Roman"/>
          <w:b/>
          <w:sz w:val="26"/>
          <w:szCs w:val="26"/>
        </w:rPr>
      </w:pPr>
      <w:r w:rsidRPr="004E30A9">
        <w:rPr>
          <w:rFonts w:ascii="Times New Roman" w:hAnsi="Times New Roman" w:cs="Times New Roman"/>
          <w:b/>
          <w:sz w:val="26"/>
          <w:szCs w:val="26"/>
        </w:rPr>
        <w:t>Sơ đồ khái quát biện pháp Thanh lý/phá sản</w:t>
      </w:r>
    </w:p>
    <w:p w14:paraId="1EB34FD4" w14:textId="0051915A" w:rsidR="00FE425C" w:rsidRPr="004E30A9" w:rsidRDefault="00FE425C" w:rsidP="00FE425C">
      <w:pPr>
        <w:spacing w:before="120" w:after="120" w:line="300" w:lineRule="auto"/>
        <w:jc w:val="both"/>
        <w:rPr>
          <w:rFonts w:ascii="Times New Roman" w:hAnsi="Times New Roman" w:cs="Times New Roman"/>
          <w:sz w:val="26"/>
          <w:szCs w:val="26"/>
        </w:rPr>
      </w:pPr>
      <w:r w:rsidRPr="004E30A9">
        <w:rPr>
          <w:rFonts w:ascii="Times New Roman" w:hAnsi="Times New Roman" w:cs="Times New Roman"/>
          <w:noProof/>
          <w:sz w:val="26"/>
          <w:szCs w:val="26"/>
        </w:rPr>
        <w:lastRenderedPageBreak/>
        <w:drawing>
          <wp:inline distT="0" distB="0" distL="0" distR="0" wp14:anchorId="22CFEA30" wp14:editId="56BF3498">
            <wp:extent cx="6185535" cy="2827655"/>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l="2800" t="4689" b="8824"/>
                    <a:stretch>
                      <a:fillRect/>
                    </a:stretch>
                  </pic:blipFill>
                  <pic:spPr bwMode="auto">
                    <a:xfrm>
                      <a:off x="0" y="0"/>
                      <a:ext cx="6185535" cy="2827655"/>
                    </a:xfrm>
                    <a:prstGeom prst="rect">
                      <a:avLst/>
                    </a:prstGeom>
                    <a:noFill/>
                    <a:ln>
                      <a:noFill/>
                    </a:ln>
                  </pic:spPr>
                </pic:pic>
              </a:graphicData>
            </a:graphic>
          </wp:inline>
        </w:drawing>
      </w:r>
    </w:p>
    <w:p w14:paraId="600A49C3" w14:textId="77777777" w:rsidR="00FE425C" w:rsidRPr="004E30A9" w:rsidRDefault="00FE425C" w:rsidP="00A26ADD">
      <w:pPr>
        <w:spacing w:before="120" w:after="120" w:line="276" w:lineRule="auto"/>
        <w:ind w:firstLine="709"/>
        <w:jc w:val="both"/>
        <w:rPr>
          <w:rFonts w:ascii="Times New Roman" w:hAnsi="Times New Roman" w:cs="Times New Roman"/>
          <w:i/>
          <w:iCs/>
          <w:sz w:val="26"/>
          <w:szCs w:val="26"/>
        </w:rPr>
      </w:pPr>
      <w:r w:rsidRPr="004E30A9">
        <w:rPr>
          <w:rFonts w:ascii="Times New Roman" w:hAnsi="Times New Roman" w:cs="Times New Roman"/>
          <w:i/>
          <w:iCs/>
          <w:sz w:val="26"/>
          <w:szCs w:val="26"/>
        </w:rPr>
        <w:t>- Mua lại và tiếp nhận (P&amp;A)</w:t>
      </w:r>
    </w:p>
    <w:p w14:paraId="05BC9E34" w14:textId="77777777" w:rsidR="00FE425C" w:rsidRPr="004E30A9" w:rsidRDefault="00FE425C" w:rsidP="00A26ADD">
      <w:pPr>
        <w:spacing w:before="120" w:after="120" w:line="276" w:lineRule="auto"/>
        <w:ind w:firstLine="709"/>
        <w:jc w:val="both"/>
        <w:rPr>
          <w:rFonts w:ascii="Times New Roman" w:hAnsi="Times New Roman" w:cs="Times New Roman"/>
          <w:sz w:val="26"/>
          <w:szCs w:val="26"/>
        </w:rPr>
      </w:pPr>
      <w:r w:rsidRPr="004E30A9">
        <w:rPr>
          <w:rFonts w:ascii="Times New Roman" w:hAnsi="Times New Roman" w:cs="Times New Roman"/>
          <w:sz w:val="26"/>
          <w:szCs w:val="26"/>
        </w:rPr>
        <w:t>Tài sản chất lượng tốt và nợ phải trả (trả (tiền gửi được bảo hiểm trong hạn mức) của tổ chức đổ vỡ được chuyển giao cho bên mua lại và tiếp nhận, tài sản xấu và nợ phải trả (tiền gửi vượt hạn mức và nợ khác) được thanh lý. KDIC sử dụng biện pháp này khi tìm được bên mua lại quan tâm tại thời điểm xử lý tổ chức tài chính đổ vỡ. Cũng như biện pháp ngân hàng bắc cầu, biện pháp P&amp;A giúp các khoản tiền gửi được bảo hiểm vẫn được duy trì do được chuyển sang ngân hàng tiếp nhận.</w:t>
      </w:r>
    </w:p>
    <w:p w14:paraId="300DD4A2" w14:textId="77777777" w:rsidR="00FE425C" w:rsidRPr="004E30A9" w:rsidRDefault="00FE425C" w:rsidP="00FE425C">
      <w:pPr>
        <w:spacing w:before="120" w:after="120" w:line="300" w:lineRule="auto"/>
        <w:jc w:val="center"/>
        <w:rPr>
          <w:rFonts w:ascii="Times New Roman" w:hAnsi="Times New Roman" w:cs="Times New Roman"/>
          <w:b/>
          <w:sz w:val="26"/>
          <w:szCs w:val="26"/>
        </w:rPr>
      </w:pPr>
      <w:r w:rsidRPr="004E30A9">
        <w:rPr>
          <w:rFonts w:ascii="Times New Roman" w:hAnsi="Times New Roman" w:cs="Times New Roman"/>
          <w:b/>
          <w:sz w:val="26"/>
          <w:szCs w:val="26"/>
        </w:rPr>
        <w:t>Sơ đồ khái quát biện pháp P&amp;A</w:t>
      </w:r>
    </w:p>
    <w:p w14:paraId="1DA316FB" w14:textId="3CE76C68" w:rsidR="00FE425C" w:rsidRPr="004E30A9" w:rsidRDefault="00FE425C" w:rsidP="00FE425C">
      <w:pPr>
        <w:spacing w:before="120" w:after="120" w:line="300" w:lineRule="auto"/>
        <w:jc w:val="center"/>
        <w:rPr>
          <w:rFonts w:ascii="Times New Roman" w:hAnsi="Times New Roman" w:cs="Times New Roman"/>
          <w:sz w:val="26"/>
          <w:szCs w:val="26"/>
        </w:rPr>
      </w:pPr>
      <w:r w:rsidRPr="004E30A9">
        <w:rPr>
          <w:rFonts w:ascii="Times New Roman" w:hAnsi="Times New Roman" w:cs="Times New Roman"/>
          <w:noProof/>
          <w:sz w:val="26"/>
          <w:szCs w:val="26"/>
        </w:rPr>
        <w:drawing>
          <wp:inline distT="0" distB="0" distL="0" distR="0" wp14:anchorId="1D57FAD9" wp14:editId="4ECFFEBE">
            <wp:extent cx="4269600" cy="2682938"/>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97088" cy="2700211"/>
                    </a:xfrm>
                    <a:prstGeom prst="rect">
                      <a:avLst/>
                    </a:prstGeom>
                    <a:noFill/>
                    <a:ln>
                      <a:noFill/>
                    </a:ln>
                  </pic:spPr>
                </pic:pic>
              </a:graphicData>
            </a:graphic>
          </wp:inline>
        </w:drawing>
      </w:r>
    </w:p>
    <w:p w14:paraId="14B563A4" w14:textId="77777777" w:rsidR="00FE425C" w:rsidRPr="004E30A9" w:rsidRDefault="00FE425C" w:rsidP="00A26ADD">
      <w:pPr>
        <w:spacing w:before="120" w:after="120" w:line="276" w:lineRule="auto"/>
        <w:ind w:firstLine="709"/>
        <w:jc w:val="both"/>
        <w:rPr>
          <w:rFonts w:ascii="Times New Roman" w:hAnsi="Times New Roman" w:cs="Times New Roman"/>
          <w:i/>
          <w:iCs/>
          <w:sz w:val="26"/>
          <w:szCs w:val="26"/>
        </w:rPr>
      </w:pPr>
      <w:r w:rsidRPr="004E30A9">
        <w:rPr>
          <w:rFonts w:ascii="Times New Roman" w:hAnsi="Times New Roman" w:cs="Times New Roman"/>
          <w:i/>
          <w:iCs/>
          <w:sz w:val="26"/>
          <w:szCs w:val="26"/>
        </w:rPr>
        <w:t>- Ngân hàng bắc cầu</w:t>
      </w:r>
    </w:p>
    <w:p w14:paraId="0DBC56DC" w14:textId="77777777" w:rsidR="00FE425C" w:rsidRPr="004E30A9" w:rsidRDefault="00FE425C" w:rsidP="00A26ADD">
      <w:pPr>
        <w:spacing w:before="120" w:line="276" w:lineRule="auto"/>
        <w:ind w:firstLine="709"/>
        <w:jc w:val="both"/>
        <w:rPr>
          <w:rFonts w:ascii="Times New Roman" w:hAnsi="Times New Roman" w:cs="Times New Roman"/>
          <w:sz w:val="26"/>
          <w:szCs w:val="26"/>
        </w:rPr>
      </w:pPr>
      <w:r w:rsidRPr="004E30A9">
        <w:rPr>
          <w:rFonts w:ascii="Times New Roman" w:hAnsi="Times New Roman" w:cs="Times New Roman"/>
          <w:sz w:val="26"/>
          <w:szCs w:val="26"/>
        </w:rPr>
        <w:t xml:space="preserve">Tài sản chất lượng tốt và nợ phải trả (tiền gửi được bảo hiểm trong hạn mức) của tổ chức đổ vỡ được tạm thời chuyển giao cho tổ chức bắc cầu được thành lập bởi KDIC, tài sản xấu và nợ phải trả (tiền gửi vượt hạn mức và nợ khác) được thanh lý. Sau một thời gian, tài </w:t>
      </w:r>
      <w:r w:rsidRPr="004E30A9">
        <w:rPr>
          <w:rFonts w:ascii="Times New Roman" w:hAnsi="Times New Roman" w:cs="Times New Roman"/>
          <w:sz w:val="26"/>
          <w:szCs w:val="26"/>
        </w:rPr>
        <w:lastRenderedPageBreak/>
        <w:t>sản và nợ được ngân hàng bắc cầu tiếp nhận sẽ được bán cho tổ chức tài chính tiếp nhận cuối cùng. KDIC sử dụng biện pháp này khi không tìm được bên mua lại tại thời điểm xử lý nhưng kỳ vọng sẽ có bên quan tâm khi ngân hàng ổn định trở lại. Biện pháp ngân hàng bắc cầu giúp các khoản tiền gửi được bảo hiểm vẫn được duy trì do được chuyển sang ngân hàng bắc cầu.</w:t>
      </w:r>
    </w:p>
    <w:p w14:paraId="0D5CE5F4" w14:textId="77777777" w:rsidR="00FE425C" w:rsidRPr="004E30A9" w:rsidRDefault="00FE425C" w:rsidP="00A26ADD">
      <w:pPr>
        <w:spacing w:after="120" w:line="276" w:lineRule="auto"/>
        <w:jc w:val="center"/>
        <w:rPr>
          <w:rFonts w:ascii="Times New Roman" w:hAnsi="Times New Roman" w:cs="Times New Roman"/>
          <w:sz w:val="26"/>
          <w:szCs w:val="26"/>
        </w:rPr>
      </w:pPr>
      <w:r w:rsidRPr="004E30A9">
        <w:rPr>
          <w:rFonts w:ascii="Times New Roman" w:hAnsi="Times New Roman" w:cs="Times New Roman"/>
          <w:b/>
          <w:sz w:val="26"/>
          <w:szCs w:val="26"/>
        </w:rPr>
        <w:t>Sơ đồ khái quát biện pháp Ngân hàng bắc cầu</w:t>
      </w:r>
    </w:p>
    <w:p w14:paraId="3FEE85AD" w14:textId="424F98E8" w:rsidR="00FE425C" w:rsidRPr="004E30A9" w:rsidRDefault="00FE425C" w:rsidP="00FE425C">
      <w:pPr>
        <w:spacing w:after="120" w:line="300" w:lineRule="auto"/>
        <w:jc w:val="center"/>
        <w:rPr>
          <w:rFonts w:ascii="Times New Roman" w:hAnsi="Times New Roman" w:cs="Times New Roman"/>
          <w:sz w:val="26"/>
          <w:szCs w:val="26"/>
        </w:rPr>
      </w:pPr>
      <w:r w:rsidRPr="004E30A9">
        <w:rPr>
          <w:rFonts w:ascii="Times New Roman" w:hAnsi="Times New Roman" w:cs="Times New Roman"/>
          <w:noProof/>
          <w:sz w:val="26"/>
          <w:szCs w:val="26"/>
        </w:rPr>
        <w:drawing>
          <wp:inline distT="0" distB="0" distL="0" distR="0" wp14:anchorId="533F0E47" wp14:editId="6E6C0D85">
            <wp:extent cx="5870575" cy="32810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70575" cy="3281045"/>
                    </a:xfrm>
                    <a:prstGeom prst="rect">
                      <a:avLst/>
                    </a:prstGeom>
                    <a:noFill/>
                    <a:ln>
                      <a:noFill/>
                    </a:ln>
                  </pic:spPr>
                </pic:pic>
              </a:graphicData>
            </a:graphic>
          </wp:inline>
        </w:drawing>
      </w:r>
    </w:p>
    <w:p w14:paraId="3C8B14FD" w14:textId="77777777" w:rsidR="00FE425C" w:rsidRPr="004E30A9" w:rsidRDefault="00FE425C" w:rsidP="00A26ADD">
      <w:pPr>
        <w:spacing w:before="120" w:after="120" w:line="276" w:lineRule="auto"/>
        <w:ind w:firstLine="709"/>
        <w:jc w:val="both"/>
        <w:rPr>
          <w:rFonts w:ascii="Times New Roman" w:hAnsi="Times New Roman" w:cs="Times New Roman"/>
          <w:b/>
          <w:bCs/>
          <w:i/>
          <w:iCs/>
          <w:sz w:val="26"/>
          <w:szCs w:val="26"/>
        </w:rPr>
      </w:pPr>
      <w:r w:rsidRPr="004E30A9">
        <w:rPr>
          <w:rFonts w:ascii="Times New Roman" w:hAnsi="Times New Roman" w:cs="Times New Roman"/>
          <w:b/>
          <w:bCs/>
          <w:i/>
          <w:iCs/>
          <w:sz w:val="26"/>
          <w:szCs w:val="26"/>
        </w:rPr>
        <w:t>* Các biện pháp xử lý “mở”</w:t>
      </w:r>
    </w:p>
    <w:p w14:paraId="3EB11144" w14:textId="77777777" w:rsidR="00FE425C" w:rsidRPr="004E30A9" w:rsidRDefault="00FE425C" w:rsidP="00A26ADD">
      <w:pPr>
        <w:spacing w:before="120" w:after="120" w:line="276" w:lineRule="auto"/>
        <w:ind w:firstLine="709"/>
        <w:jc w:val="both"/>
        <w:rPr>
          <w:rFonts w:ascii="Times New Roman" w:hAnsi="Times New Roman" w:cs="Times New Roman"/>
          <w:i/>
          <w:iCs/>
          <w:sz w:val="26"/>
          <w:szCs w:val="26"/>
          <w:lang w:val="fr-FR"/>
        </w:rPr>
      </w:pPr>
      <w:r w:rsidRPr="004E30A9">
        <w:rPr>
          <w:rFonts w:ascii="Times New Roman" w:hAnsi="Times New Roman" w:cs="Times New Roman"/>
          <w:i/>
          <w:iCs/>
          <w:sz w:val="26"/>
          <w:szCs w:val="26"/>
          <w:lang w:val="fr-FR"/>
        </w:rPr>
        <w:t>- Sáp nhập và Mua lại (M&amp;A)</w:t>
      </w:r>
    </w:p>
    <w:p w14:paraId="29F03200" w14:textId="77777777" w:rsidR="00FE425C" w:rsidRPr="004E30A9" w:rsidRDefault="00FE425C" w:rsidP="00A26ADD">
      <w:pPr>
        <w:spacing w:before="120" w:after="120" w:line="276" w:lineRule="auto"/>
        <w:ind w:firstLine="709"/>
        <w:jc w:val="both"/>
        <w:rPr>
          <w:rFonts w:ascii="Times New Roman" w:hAnsi="Times New Roman" w:cs="Times New Roman"/>
          <w:sz w:val="26"/>
          <w:szCs w:val="26"/>
          <w:lang w:val="fr-FR"/>
        </w:rPr>
      </w:pPr>
      <w:r w:rsidRPr="004E30A9">
        <w:rPr>
          <w:rFonts w:ascii="Times New Roman" w:hAnsi="Times New Roman" w:cs="Times New Roman"/>
          <w:sz w:val="26"/>
          <w:szCs w:val="26"/>
          <w:lang w:val="fr-FR"/>
        </w:rPr>
        <w:t xml:space="preserve">KDIC thực hiện dàn xếp để tổ chức tài chính đổ vỡ được bán cho bên thứ ba hoặc sáp nhập với một tổ chức khác. Điều kiện để KDIC sử dụng phương pháp này là khi tổ chức đổ vỡ có tầm quan trọng đối với hệ thống tài chính, do đó, các chức năng cơ bản của tổ chức đổ vỡ cần phải được duy trì và thị trường M&amp;A trong lĩnh vực ngân hàng sôi động để có thể tìm được bên mua lại quan tâm tại thời điểm xử lý. </w:t>
      </w:r>
    </w:p>
    <w:p w14:paraId="7EBAEABC" w14:textId="77777777" w:rsidR="00FE425C" w:rsidRPr="004E30A9" w:rsidRDefault="00FE425C" w:rsidP="00FE425C">
      <w:pPr>
        <w:spacing w:before="120" w:after="120" w:line="300" w:lineRule="auto"/>
        <w:ind w:firstLine="709"/>
        <w:jc w:val="both"/>
        <w:rPr>
          <w:rFonts w:ascii="Times New Roman" w:hAnsi="Times New Roman" w:cs="Times New Roman"/>
          <w:sz w:val="26"/>
          <w:szCs w:val="26"/>
          <w:lang w:val="fr-FR"/>
        </w:rPr>
      </w:pPr>
    </w:p>
    <w:p w14:paraId="63CC2C1A" w14:textId="77777777" w:rsidR="00FE425C" w:rsidRPr="004E30A9" w:rsidRDefault="00FE425C" w:rsidP="00FE425C">
      <w:pPr>
        <w:spacing w:before="120" w:after="120" w:line="300" w:lineRule="auto"/>
        <w:jc w:val="center"/>
        <w:rPr>
          <w:rFonts w:ascii="Times New Roman" w:hAnsi="Times New Roman" w:cs="Times New Roman"/>
          <w:b/>
          <w:sz w:val="26"/>
          <w:szCs w:val="26"/>
          <w:lang w:val="fr-FR"/>
        </w:rPr>
      </w:pPr>
      <w:r w:rsidRPr="004E30A9">
        <w:rPr>
          <w:rFonts w:ascii="Times New Roman" w:hAnsi="Times New Roman" w:cs="Times New Roman"/>
          <w:b/>
          <w:sz w:val="26"/>
          <w:szCs w:val="26"/>
          <w:lang w:val="fr-FR"/>
        </w:rPr>
        <w:t>Sơ đồ khái quát biện pháp M&amp;A</w:t>
      </w:r>
    </w:p>
    <w:p w14:paraId="2AC4BA63" w14:textId="486038CD" w:rsidR="00FE425C" w:rsidRPr="004E30A9" w:rsidRDefault="00FE425C" w:rsidP="00FE425C">
      <w:pPr>
        <w:spacing w:before="120" w:after="120" w:line="300" w:lineRule="auto"/>
        <w:jc w:val="center"/>
        <w:rPr>
          <w:rFonts w:ascii="Times New Roman" w:hAnsi="Times New Roman" w:cs="Times New Roman"/>
          <w:sz w:val="26"/>
          <w:szCs w:val="26"/>
        </w:rPr>
      </w:pPr>
      <w:r w:rsidRPr="004E30A9">
        <w:rPr>
          <w:rFonts w:ascii="Times New Roman" w:hAnsi="Times New Roman" w:cs="Times New Roman"/>
          <w:noProof/>
          <w:sz w:val="26"/>
          <w:szCs w:val="26"/>
        </w:rPr>
        <w:lastRenderedPageBreak/>
        <w:drawing>
          <wp:inline distT="0" distB="0" distL="0" distR="0" wp14:anchorId="3513A385" wp14:editId="1794F3F8">
            <wp:extent cx="5763260" cy="2589530"/>
            <wp:effectExtent l="0" t="0" r="889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63260" cy="2589530"/>
                    </a:xfrm>
                    <a:prstGeom prst="rect">
                      <a:avLst/>
                    </a:prstGeom>
                    <a:noFill/>
                    <a:ln>
                      <a:noFill/>
                    </a:ln>
                  </pic:spPr>
                </pic:pic>
              </a:graphicData>
            </a:graphic>
          </wp:inline>
        </w:drawing>
      </w:r>
    </w:p>
    <w:p w14:paraId="582F32BE" w14:textId="77777777" w:rsidR="00FE425C" w:rsidRPr="004E30A9" w:rsidRDefault="00FE425C" w:rsidP="00FE425C">
      <w:pPr>
        <w:spacing w:before="120" w:after="120" w:line="300" w:lineRule="auto"/>
        <w:ind w:firstLine="709"/>
        <w:jc w:val="both"/>
        <w:rPr>
          <w:rFonts w:ascii="Times New Roman" w:hAnsi="Times New Roman" w:cs="Times New Roman"/>
          <w:i/>
          <w:iCs/>
          <w:sz w:val="26"/>
          <w:szCs w:val="26"/>
        </w:rPr>
      </w:pPr>
      <w:r w:rsidRPr="004E30A9">
        <w:rPr>
          <w:rFonts w:ascii="Times New Roman" w:hAnsi="Times New Roman" w:cs="Times New Roman"/>
          <w:i/>
          <w:iCs/>
          <w:sz w:val="26"/>
          <w:szCs w:val="26"/>
        </w:rPr>
        <w:t>- Hỗ trợ tài chính</w:t>
      </w:r>
    </w:p>
    <w:p w14:paraId="25BA8781" w14:textId="77777777" w:rsidR="00FE425C" w:rsidRPr="004E30A9" w:rsidRDefault="00FE425C" w:rsidP="00FE425C">
      <w:pPr>
        <w:spacing w:before="120" w:after="120" w:line="300" w:lineRule="auto"/>
        <w:jc w:val="center"/>
        <w:rPr>
          <w:rFonts w:ascii="Times New Roman" w:hAnsi="Times New Roman" w:cs="Times New Roman"/>
          <w:b/>
          <w:sz w:val="26"/>
          <w:szCs w:val="26"/>
        </w:rPr>
      </w:pPr>
      <w:r w:rsidRPr="004E30A9">
        <w:rPr>
          <w:rFonts w:ascii="Times New Roman" w:hAnsi="Times New Roman" w:cs="Times New Roman"/>
          <w:b/>
          <w:sz w:val="26"/>
          <w:szCs w:val="26"/>
        </w:rPr>
        <w:t>Sơ đồ khái quát biện pháp Hỗ trợ tài chính</w:t>
      </w:r>
    </w:p>
    <w:p w14:paraId="7FED2997" w14:textId="675C1702" w:rsidR="00FE425C" w:rsidRPr="004E30A9" w:rsidRDefault="00FE425C" w:rsidP="00FE425C">
      <w:pPr>
        <w:spacing w:before="120" w:after="120" w:line="300" w:lineRule="auto"/>
        <w:jc w:val="center"/>
        <w:rPr>
          <w:rFonts w:ascii="Times New Roman" w:hAnsi="Times New Roman" w:cs="Times New Roman"/>
          <w:sz w:val="26"/>
          <w:szCs w:val="26"/>
        </w:rPr>
      </w:pPr>
      <w:r w:rsidRPr="004E30A9">
        <w:rPr>
          <w:rFonts w:ascii="Times New Roman" w:hAnsi="Times New Roman" w:cs="Times New Roman"/>
          <w:noProof/>
          <w:sz w:val="26"/>
          <w:szCs w:val="26"/>
        </w:rPr>
        <w:drawing>
          <wp:inline distT="0" distB="0" distL="0" distR="0" wp14:anchorId="4D74E41B" wp14:editId="3B1D1FDC">
            <wp:extent cx="5609590" cy="24206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09590" cy="2420620"/>
                    </a:xfrm>
                    <a:prstGeom prst="rect">
                      <a:avLst/>
                    </a:prstGeom>
                    <a:noFill/>
                    <a:ln>
                      <a:noFill/>
                    </a:ln>
                  </pic:spPr>
                </pic:pic>
              </a:graphicData>
            </a:graphic>
          </wp:inline>
        </w:drawing>
      </w:r>
    </w:p>
    <w:p w14:paraId="086BBBCC" w14:textId="6EE8D32A" w:rsidR="00191A4F" w:rsidRPr="004E30A9" w:rsidRDefault="00FE425C" w:rsidP="00A26ADD">
      <w:pPr>
        <w:spacing w:before="120" w:after="120" w:line="276" w:lineRule="auto"/>
        <w:ind w:firstLine="709"/>
        <w:jc w:val="both"/>
        <w:rPr>
          <w:rFonts w:ascii="Times New Roman" w:hAnsi="Times New Roman" w:cs="Times New Roman"/>
          <w:sz w:val="26"/>
          <w:szCs w:val="26"/>
        </w:rPr>
      </w:pPr>
      <w:r w:rsidRPr="004E30A9">
        <w:rPr>
          <w:rFonts w:ascii="Times New Roman" w:hAnsi="Times New Roman" w:cs="Times New Roman"/>
          <w:sz w:val="26"/>
          <w:szCs w:val="26"/>
        </w:rPr>
        <w:t>KDIC sẽ thực hiện đầu tư vốn cổ phần hoặc góp vốn vào tổ chức tài chính đổ vỡ nhằm phục hồi tổ chức đổ vỡ. Tổ chức đổ vỡ vẫn giữ nguyên tên gọi của minh. KDIC áp dụng biện pháp này khi tổ chức đổ vỡ có tầm quan trọng đối với hệ thống tài chính, do đó, các chức năng cơ bản của tổ chức đổ vỡ cần phải được duy trì trong khi việc áp dụng biện pháp khác như M&amp;A không khả thi. Mục đích của biện pháp này là nhằm để tổ chức đổ vỡ tự phục hồi sau khi thị trường tài chính hoạt động bình thường trở lại.</w:t>
      </w:r>
    </w:p>
    <w:p w14:paraId="2EE4F038" w14:textId="5B60348D" w:rsidR="000216BB" w:rsidRPr="004E30A9" w:rsidRDefault="000216BB" w:rsidP="00A26ADD">
      <w:pPr>
        <w:spacing w:before="120" w:after="120" w:line="276" w:lineRule="auto"/>
        <w:ind w:firstLine="709"/>
        <w:jc w:val="both"/>
        <w:rPr>
          <w:rFonts w:ascii="Times New Roman" w:hAnsi="Times New Roman" w:cs="Times New Roman"/>
          <w:b/>
          <w:sz w:val="26"/>
          <w:szCs w:val="26"/>
        </w:rPr>
      </w:pPr>
      <w:r w:rsidRPr="004E30A9">
        <w:rPr>
          <w:rFonts w:ascii="Times New Roman" w:hAnsi="Times New Roman" w:cs="Times New Roman"/>
          <w:b/>
          <w:sz w:val="26"/>
          <w:szCs w:val="26"/>
        </w:rPr>
        <w:t>3. Mỹ</w:t>
      </w:r>
    </w:p>
    <w:p w14:paraId="04FA7154" w14:textId="544FDB90" w:rsidR="000216BB" w:rsidRPr="004E30A9" w:rsidRDefault="000216BB" w:rsidP="00AC396D">
      <w:pPr>
        <w:tabs>
          <w:tab w:val="left" w:pos="540"/>
        </w:tabs>
        <w:spacing w:after="120" w:line="264" w:lineRule="auto"/>
        <w:ind w:firstLine="720"/>
        <w:jc w:val="both"/>
        <w:rPr>
          <w:rFonts w:ascii="Times New Roman" w:hAnsi="Times New Roman" w:cs="Times New Roman"/>
          <w:sz w:val="26"/>
          <w:szCs w:val="26"/>
        </w:rPr>
      </w:pPr>
      <w:r w:rsidRPr="004E30A9">
        <w:rPr>
          <w:rFonts w:ascii="Times New Roman" w:hAnsi="Times New Roman" w:cs="Times New Roman"/>
          <w:sz w:val="26"/>
          <w:szCs w:val="26"/>
        </w:rPr>
        <w:t>Tại Mỹ, thỏa thuận chia sẻ tổn thất thường được áp dụng trong giao dịch mua lại và tiếp nhận (P&amp;A) và có đôi nét giống với chính sách bù đắp tiền gửi.</w:t>
      </w:r>
      <w:r w:rsidR="00AC396D" w:rsidRPr="004E30A9">
        <w:rPr>
          <w:rFonts w:ascii="Times New Roman" w:hAnsi="Times New Roman" w:cs="Times New Roman"/>
          <w:sz w:val="26"/>
          <w:szCs w:val="26"/>
        </w:rPr>
        <w:t xml:space="preserve"> </w:t>
      </w:r>
      <w:r w:rsidR="00781397" w:rsidRPr="004E30A9">
        <w:rPr>
          <w:rFonts w:ascii="Times New Roman" w:hAnsi="Times New Roman" w:cs="Times New Roman"/>
          <w:sz w:val="26"/>
          <w:szCs w:val="26"/>
        </w:rPr>
        <w:t>Công ty bảo hiểm tiền gửi liên bang Hòa kỳ</w:t>
      </w:r>
      <w:r w:rsidR="00781397" w:rsidRPr="004E30A9">
        <w:rPr>
          <w:rFonts w:cs="Times New Roman"/>
          <w:sz w:val="26"/>
          <w:szCs w:val="26"/>
        </w:rPr>
        <w:t xml:space="preserve"> </w:t>
      </w:r>
      <w:r w:rsidR="00781397" w:rsidRPr="004E30A9">
        <w:rPr>
          <w:rFonts w:ascii="Times New Roman" w:hAnsi="Times New Roman" w:cs="Times New Roman"/>
          <w:sz w:val="26"/>
          <w:szCs w:val="26"/>
        </w:rPr>
        <w:t>(</w:t>
      </w:r>
      <w:r w:rsidR="00AC396D" w:rsidRPr="004E30A9">
        <w:rPr>
          <w:rFonts w:ascii="Times New Roman" w:hAnsi="Times New Roman" w:cs="Times New Roman"/>
          <w:sz w:val="26"/>
          <w:szCs w:val="26"/>
        </w:rPr>
        <w:t>FDIC</w:t>
      </w:r>
      <w:r w:rsidR="00781397" w:rsidRPr="004E30A9">
        <w:rPr>
          <w:rFonts w:ascii="Times New Roman" w:hAnsi="Times New Roman" w:cs="Times New Roman"/>
          <w:sz w:val="26"/>
          <w:szCs w:val="26"/>
        </w:rPr>
        <w:t>)</w:t>
      </w:r>
      <w:r w:rsidR="00AC396D" w:rsidRPr="004E30A9">
        <w:rPr>
          <w:rFonts w:ascii="Times New Roman" w:hAnsi="Times New Roman" w:cs="Times New Roman"/>
          <w:sz w:val="26"/>
          <w:szCs w:val="26"/>
        </w:rPr>
        <w:t xml:space="preserve"> là một trong những tổ chức BHTG có nhiều kinh nghiệm trong việc áp dụng P&amp;A. Cụ thể, kể từ năm 2007, P&amp;A chiếm khoảng 95% tổng số trường hợp xử </w:t>
      </w:r>
      <w:r w:rsidR="00AC396D" w:rsidRPr="004E30A9">
        <w:rPr>
          <w:rFonts w:ascii="Times New Roman" w:hAnsi="Times New Roman" w:cs="Times New Roman"/>
          <w:sz w:val="26"/>
          <w:szCs w:val="26"/>
        </w:rPr>
        <w:lastRenderedPageBreak/>
        <w:t>lý của FDIC, thường gồm một bên mua duy nhất tiếp nhận phần lớn nợ của ngân hàng yếu kém</w:t>
      </w:r>
      <w:r w:rsidR="00AC396D" w:rsidRPr="004E30A9">
        <w:rPr>
          <w:rFonts w:ascii="Times New Roman" w:hAnsi="Times New Roman" w:cs="Times New Roman"/>
          <w:sz w:val="26"/>
          <w:szCs w:val="26"/>
          <w:vertAlign w:val="superscript"/>
        </w:rPr>
        <w:footnoteReference w:id="13"/>
      </w:r>
      <w:r w:rsidR="00AC396D" w:rsidRPr="004E30A9">
        <w:rPr>
          <w:rFonts w:ascii="Times New Roman" w:hAnsi="Times New Roman" w:cs="Times New Roman"/>
          <w:sz w:val="26"/>
          <w:szCs w:val="26"/>
        </w:rPr>
        <w:t>.</w:t>
      </w:r>
    </w:p>
    <w:p w14:paraId="66B8DBB6" w14:textId="77777777" w:rsidR="000216BB" w:rsidRPr="004E30A9" w:rsidRDefault="000216BB" w:rsidP="000216BB">
      <w:pPr>
        <w:tabs>
          <w:tab w:val="left" w:pos="540"/>
        </w:tabs>
        <w:spacing w:after="120" w:line="264" w:lineRule="auto"/>
        <w:ind w:firstLine="720"/>
        <w:jc w:val="both"/>
        <w:rPr>
          <w:rFonts w:ascii="Times New Roman" w:hAnsi="Times New Roman" w:cs="Times New Roman"/>
          <w:sz w:val="26"/>
          <w:szCs w:val="26"/>
        </w:rPr>
      </w:pPr>
      <w:r w:rsidRPr="004E30A9">
        <w:rPr>
          <w:rFonts w:ascii="Times New Roman" w:hAnsi="Times New Roman" w:cs="Times New Roman"/>
          <w:sz w:val="26"/>
          <w:szCs w:val="26"/>
        </w:rPr>
        <w:t>Về thẩm quyền xử lý nói chung và thực hiện P&amp;A nói riêng, nhìn chung, FDIC là cơ quan duy nhất có trách nhiệm xử lý tổ chức tài chính đổ vỡ tại Mỹ. Thông thường, Cơ quan kiểm soát tiền tệ (OCC) hoặc Cơ quan quản lý cấp liên bang sẽ chỉ định FDIC là cơ quan tiếp nhận, tuy nhiên trong trường hợp đặc biệt</w:t>
      </w:r>
      <w:r w:rsidRPr="004E30A9">
        <w:rPr>
          <w:rStyle w:val="FootnoteReference"/>
          <w:rFonts w:ascii="Times New Roman" w:hAnsi="Times New Roman" w:cs="Times New Roman"/>
          <w:sz w:val="26"/>
          <w:szCs w:val="26"/>
        </w:rPr>
        <w:footnoteReference w:id="14"/>
      </w:r>
      <w:r w:rsidRPr="004E30A9">
        <w:rPr>
          <w:rFonts w:ascii="Times New Roman" w:hAnsi="Times New Roman" w:cs="Times New Roman"/>
          <w:sz w:val="26"/>
          <w:szCs w:val="26"/>
        </w:rPr>
        <w:t>, FDIC có thể tự chỉ định mình là cơ quan tiếp nhận. Các cơ quan chính trong mạng an toàn tài chính Mỹ bao gồm: (i) Cục dự trữ liên bang (FED): người cho vay cuối cùng, giám sát/ điều tiết; (ii) OCC: giám sát/ điều tiết; và (iii) FDIC: BHTG, giám sát/ điều tiết, xử lý đổ vỡ.</w:t>
      </w:r>
    </w:p>
    <w:p w14:paraId="5CD1BFF7" w14:textId="77777777" w:rsidR="000216BB" w:rsidRPr="004E30A9" w:rsidRDefault="000216BB" w:rsidP="000216BB">
      <w:pPr>
        <w:tabs>
          <w:tab w:val="left" w:pos="540"/>
        </w:tabs>
        <w:spacing w:after="120" w:line="264" w:lineRule="auto"/>
        <w:ind w:firstLine="720"/>
        <w:jc w:val="both"/>
        <w:rPr>
          <w:rFonts w:ascii="Times New Roman" w:hAnsi="Times New Roman" w:cs="Times New Roman"/>
          <w:sz w:val="26"/>
          <w:szCs w:val="26"/>
        </w:rPr>
      </w:pPr>
      <w:r w:rsidRPr="004E30A9">
        <w:rPr>
          <w:rFonts w:ascii="Times New Roman" w:hAnsi="Times New Roman" w:cs="Times New Roman"/>
          <w:sz w:val="26"/>
          <w:szCs w:val="26"/>
        </w:rPr>
        <w:t>Với tư cách là tổ chức BHTG, FDIC duy trì, quản lý và kiểm soát các rủi ro đối với quỹ BHTG. Bất cứ khi nào một tổ chức nhận tiền gửi được bảo hiểm cấp liên bang đổ vỡ, FDIC sẽ thanh toán các khoản tiền gửi được bảo hiểm hoặc sắp xếp việc chuyển các tài khoản từ tổ chức đổ vỡ sang một tổ chức tiếp nhận/ mua lại. Với vai trò là cơ quan tiếp nhận, FDIC được ủy thác/ có trách nhiệm tối đa hóa số tiền thu hồi cho tổ chức đổ vỡ thông qua việc bán tài sản và xử lý yêu cầu bồi thường trong quá trình tiếp nhận. Số tiền thu hồi được từ việc bán tài sản và giải quyết các yêu cầu bồi thường hợp lệ sẽ được phân bổ cho những chủ nợ (của ngân hàng đổ vỡ) theo thứ tự ưu tiên như pháp luật quy định.</w:t>
      </w:r>
    </w:p>
    <w:p w14:paraId="75BE5852" w14:textId="77777777" w:rsidR="000216BB" w:rsidRPr="004E30A9" w:rsidRDefault="000216BB" w:rsidP="000216BB">
      <w:pPr>
        <w:tabs>
          <w:tab w:val="left" w:pos="540"/>
        </w:tabs>
        <w:spacing w:after="120" w:line="264" w:lineRule="auto"/>
        <w:ind w:firstLine="720"/>
        <w:jc w:val="both"/>
        <w:rPr>
          <w:rFonts w:ascii="Times New Roman" w:hAnsi="Times New Roman" w:cs="Times New Roman"/>
          <w:sz w:val="26"/>
          <w:szCs w:val="26"/>
        </w:rPr>
      </w:pPr>
      <w:r w:rsidRPr="004E30A9">
        <w:rPr>
          <w:rFonts w:ascii="Times New Roman" w:hAnsi="Times New Roman" w:cs="Times New Roman"/>
          <w:sz w:val="26"/>
          <w:szCs w:val="26"/>
        </w:rPr>
        <w:t xml:space="preserve">Nguyên tắc xử lý của FDIC là đảm bảo chi phí thấp nhất (Luật BHTG 12 U.S.C§1823(c)(4)). Với việc thông qua Luật cải cách FDIC (FDICIA) năm 1991, FDIC phải lựa chọn phương pháp xử lý ít gây tổn thất nhất cho quỹ BHTG: chọn phương thức P&amp;A hay chi trả tiền bảo hiểm cho người gửi tiền. Với phương thức P&amp;A, FDIC sẽ phải lựa chọn phương án tối thiểu hóa chi phí giữa các hình thức P&amp;A cơ bản, P&amp;A toàn bộ ngân hàng, P&amp;A với việc chia sẻ tổn thất tùy chọn, hoặc P&amp;A qua ngân hàng bắc cầu. </w:t>
      </w:r>
    </w:p>
    <w:p w14:paraId="224F29B7" w14:textId="77777777" w:rsidR="000216BB" w:rsidRPr="004E30A9" w:rsidRDefault="000216BB" w:rsidP="000216BB">
      <w:pPr>
        <w:tabs>
          <w:tab w:val="left" w:pos="540"/>
        </w:tabs>
        <w:spacing w:after="120" w:line="264" w:lineRule="auto"/>
        <w:ind w:firstLine="720"/>
        <w:jc w:val="both"/>
        <w:rPr>
          <w:rFonts w:ascii="Times New Roman" w:hAnsi="Times New Roman" w:cs="Times New Roman"/>
          <w:sz w:val="26"/>
          <w:szCs w:val="26"/>
        </w:rPr>
      </w:pPr>
      <w:r w:rsidRPr="004E30A9">
        <w:rPr>
          <w:rFonts w:ascii="Times New Roman" w:hAnsi="Times New Roman" w:cs="Times New Roman"/>
          <w:sz w:val="26"/>
          <w:szCs w:val="26"/>
        </w:rPr>
        <w:t xml:space="preserve">Tuy nhiên, yêu cầu về chi phí tối thiểu có thể được miễn thực hiện khi Bộ trưởng Bộ Tài chính đưa ra quyết định (theo khuyến nghị của Chủ tịch FDIC và Hội đồng Thống đốc của FED) rằng việc thực hiện theo nguyên tắc chi phí tối thiểu đó sẽ có những tác động bất lợi nghiêm trọng đến điều kiện kinh tế hoặc sự ổn định tài chính. </w:t>
      </w:r>
    </w:p>
    <w:p w14:paraId="520028EC" w14:textId="77777777" w:rsidR="000216BB" w:rsidRPr="004E30A9" w:rsidRDefault="000216BB" w:rsidP="000216BB">
      <w:pPr>
        <w:tabs>
          <w:tab w:val="left" w:pos="540"/>
        </w:tabs>
        <w:spacing w:after="120" w:line="264" w:lineRule="auto"/>
        <w:ind w:firstLine="720"/>
        <w:jc w:val="both"/>
        <w:rPr>
          <w:rFonts w:ascii="Times New Roman" w:eastAsia="Arial" w:hAnsi="Times New Roman" w:cs="Times New Roman"/>
          <w:b/>
          <w:bCs/>
          <w:sz w:val="26"/>
          <w:szCs w:val="26"/>
        </w:rPr>
      </w:pPr>
      <w:r w:rsidRPr="004E30A9">
        <w:rPr>
          <w:rFonts w:ascii="Times New Roman" w:hAnsi="Times New Roman" w:cs="Times New Roman"/>
          <w:sz w:val="26"/>
          <w:szCs w:val="26"/>
        </w:rPr>
        <w:t>Theo tài liệu nghiên cứu P&amp;A năm 2019 của IADI, quy trình thực hiện P&amp;A tại Hoa Kỳ được thực hiện như sau:</w:t>
      </w:r>
    </w:p>
    <w:p w14:paraId="6B2EBE99" w14:textId="37DAF06F" w:rsidR="000216BB" w:rsidRPr="004E30A9" w:rsidRDefault="000216BB" w:rsidP="000216BB">
      <w:pPr>
        <w:tabs>
          <w:tab w:val="left" w:pos="540"/>
        </w:tabs>
        <w:spacing w:after="120" w:line="264" w:lineRule="auto"/>
        <w:ind w:firstLine="720"/>
        <w:jc w:val="center"/>
        <w:rPr>
          <w:rFonts w:ascii="Times New Roman" w:eastAsia="Arial" w:hAnsi="Times New Roman" w:cs="Times New Roman"/>
          <w:b/>
          <w:bCs/>
          <w:sz w:val="26"/>
          <w:szCs w:val="26"/>
        </w:rPr>
      </w:pPr>
      <w:r w:rsidRPr="004E30A9">
        <w:rPr>
          <w:rFonts w:ascii="Times New Roman" w:eastAsia="Arial" w:hAnsi="Times New Roman" w:cs="Times New Roman"/>
          <w:b/>
          <w:bCs/>
          <w:sz w:val="26"/>
          <w:szCs w:val="26"/>
        </w:rPr>
        <w:t xml:space="preserve">Bảng 1: Quy trình </w:t>
      </w:r>
      <w:r w:rsidRPr="004E30A9">
        <w:rPr>
          <w:rFonts w:ascii="Times New Roman" w:eastAsia="Arial" w:hAnsi="Times New Roman" w:cs="Times New Roman"/>
          <w:b/>
          <w:bCs/>
          <w:sz w:val="26"/>
          <w:szCs w:val="26"/>
          <w:lang w:val="it-IT"/>
        </w:rPr>
        <w:t xml:space="preserve">thực hiện </w:t>
      </w:r>
      <w:r w:rsidRPr="004E30A9">
        <w:rPr>
          <w:rFonts w:ascii="Times New Roman" w:eastAsia="Arial" w:hAnsi="Times New Roman" w:cs="Times New Roman"/>
          <w:b/>
          <w:bCs/>
          <w:sz w:val="26"/>
          <w:szCs w:val="26"/>
        </w:rPr>
        <w:t xml:space="preserve">P&amp;A </w:t>
      </w:r>
      <w:r w:rsidRPr="004E30A9">
        <w:rPr>
          <w:rFonts w:ascii="Times New Roman" w:eastAsia="Arial" w:hAnsi="Times New Roman" w:cs="Times New Roman"/>
          <w:b/>
          <w:bCs/>
          <w:sz w:val="26"/>
          <w:szCs w:val="26"/>
          <w:lang w:val="it-IT"/>
        </w:rPr>
        <w:t>tại</w:t>
      </w:r>
      <w:r w:rsidRPr="004E30A9">
        <w:rPr>
          <w:rFonts w:ascii="Times New Roman" w:eastAsia="Arial" w:hAnsi="Times New Roman" w:cs="Times New Roman"/>
          <w:b/>
          <w:bCs/>
          <w:sz w:val="26"/>
          <w:szCs w:val="26"/>
        </w:rPr>
        <w:t xml:space="preserve"> Hoa Kỳ</w:t>
      </w:r>
      <w:r w:rsidRPr="004E30A9">
        <w:rPr>
          <w:rStyle w:val="FootnoteReference"/>
          <w:rFonts w:ascii="Times New Roman" w:eastAsia="Arial" w:hAnsi="Times New Roman" w:cs="Times New Roman"/>
          <w:b/>
          <w:bCs/>
          <w:sz w:val="26"/>
          <w:szCs w:val="26"/>
        </w:rPr>
        <w:footnoteReference w:id="15"/>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8445"/>
      </w:tblGrid>
      <w:tr w:rsidR="004D2F23" w:rsidRPr="00EB6ED7" w14:paraId="130D9EC9" w14:textId="77777777" w:rsidTr="002D39C7">
        <w:trPr>
          <w:trHeight w:val="375"/>
          <w:tblHeader/>
        </w:trPr>
        <w:tc>
          <w:tcPr>
            <w:tcW w:w="569" w:type="pct"/>
            <w:tcBorders>
              <w:top w:val="single" w:sz="4" w:space="0" w:color="auto"/>
              <w:left w:val="single" w:sz="4" w:space="0" w:color="auto"/>
              <w:bottom w:val="single" w:sz="4" w:space="0" w:color="auto"/>
              <w:right w:val="single" w:sz="4" w:space="0" w:color="auto"/>
            </w:tcBorders>
          </w:tcPr>
          <w:p w14:paraId="7B52DDC1" w14:textId="77777777" w:rsidR="000216BB" w:rsidRPr="004E30A9" w:rsidRDefault="000216BB" w:rsidP="002D39C7">
            <w:pPr>
              <w:tabs>
                <w:tab w:val="left" w:pos="540"/>
              </w:tabs>
              <w:spacing w:after="120" w:line="264" w:lineRule="auto"/>
              <w:jc w:val="center"/>
              <w:rPr>
                <w:rFonts w:ascii="Times New Roman" w:eastAsia="Arial" w:hAnsi="Times New Roman" w:cs="Times New Roman"/>
                <w:b/>
                <w:bCs/>
                <w:sz w:val="26"/>
                <w:szCs w:val="26"/>
              </w:rPr>
            </w:pPr>
            <w:r w:rsidRPr="004E30A9">
              <w:rPr>
                <w:rFonts w:ascii="Times New Roman" w:eastAsia="Arial" w:hAnsi="Times New Roman" w:cs="Times New Roman"/>
                <w:b/>
                <w:bCs/>
                <w:sz w:val="26"/>
                <w:szCs w:val="26"/>
              </w:rPr>
              <w:lastRenderedPageBreak/>
              <w:t>Bước</w:t>
            </w:r>
          </w:p>
        </w:tc>
        <w:tc>
          <w:tcPr>
            <w:tcW w:w="4431" w:type="pct"/>
            <w:tcBorders>
              <w:top w:val="single" w:sz="4" w:space="0" w:color="auto"/>
              <w:left w:val="single" w:sz="4" w:space="0" w:color="auto"/>
              <w:bottom w:val="single" w:sz="4" w:space="0" w:color="auto"/>
              <w:right w:val="single" w:sz="4" w:space="0" w:color="auto"/>
            </w:tcBorders>
            <w:shd w:val="clear" w:color="auto" w:fill="auto"/>
          </w:tcPr>
          <w:p w14:paraId="35121DCA" w14:textId="77777777" w:rsidR="000216BB" w:rsidRPr="004E30A9" w:rsidRDefault="000216BB" w:rsidP="002D39C7">
            <w:pPr>
              <w:tabs>
                <w:tab w:val="left" w:pos="540"/>
              </w:tabs>
              <w:spacing w:after="120" w:line="264" w:lineRule="auto"/>
              <w:jc w:val="center"/>
              <w:rPr>
                <w:rFonts w:ascii="Times New Roman" w:eastAsia="Arial" w:hAnsi="Times New Roman" w:cs="Times New Roman"/>
                <w:b/>
                <w:bCs/>
                <w:sz w:val="26"/>
                <w:szCs w:val="26"/>
              </w:rPr>
            </w:pPr>
            <w:r w:rsidRPr="004E30A9">
              <w:rPr>
                <w:rFonts w:ascii="Times New Roman" w:eastAsia="Arial" w:hAnsi="Times New Roman" w:cs="Times New Roman"/>
                <w:b/>
                <w:bCs/>
                <w:sz w:val="26"/>
                <w:szCs w:val="26"/>
              </w:rPr>
              <w:t>Nội dung</w:t>
            </w:r>
          </w:p>
        </w:tc>
      </w:tr>
      <w:tr w:rsidR="004D2F23" w:rsidRPr="00EB6ED7" w14:paraId="1449932B" w14:textId="77777777" w:rsidTr="002D39C7">
        <w:trPr>
          <w:trHeight w:val="751"/>
        </w:trPr>
        <w:tc>
          <w:tcPr>
            <w:tcW w:w="569" w:type="pct"/>
            <w:tcBorders>
              <w:top w:val="single" w:sz="4" w:space="0" w:color="auto"/>
              <w:left w:val="single" w:sz="4" w:space="0" w:color="auto"/>
              <w:bottom w:val="single" w:sz="4" w:space="0" w:color="auto"/>
              <w:right w:val="single" w:sz="4" w:space="0" w:color="auto"/>
            </w:tcBorders>
          </w:tcPr>
          <w:p w14:paraId="0C9134AD" w14:textId="77777777" w:rsidR="000216BB" w:rsidRPr="004E30A9" w:rsidRDefault="000216BB" w:rsidP="002D39C7">
            <w:pPr>
              <w:tabs>
                <w:tab w:val="left" w:pos="540"/>
              </w:tabs>
              <w:spacing w:after="120" w:line="264" w:lineRule="auto"/>
              <w:jc w:val="center"/>
              <w:rPr>
                <w:rFonts w:ascii="Times New Roman" w:eastAsia="Arial" w:hAnsi="Times New Roman" w:cs="Times New Roman"/>
                <w:sz w:val="26"/>
                <w:szCs w:val="26"/>
              </w:rPr>
            </w:pPr>
            <w:r w:rsidRPr="004E30A9">
              <w:rPr>
                <w:rFonts w:ascii="Times New Roman" w:eastAsia="Arial" w:hAnsi="Times New Roman" w:cs="Times New Roman"/>
                <w:sz w:val="26"/>
                <w:szCs w:val="26"/>
              </w:rPr>
              <w:t>1</w:t>
            </w:r>
          </w:p>
        </w:tc>
        <w:tc>
          <w:tcPr>
            <w:tcW w:w="4431" w:type="pct"/>
            <w:tcBorders>
              <w:top w:val="single" w:sz="4" w:space="0" w:color="auto"/>
              <w:left w:val="single" w:sz="4" w:space="0" w:color="auto"/>
              <w:bottom w:val="single" w:sz="4" w:space="0" w:color="auto"/>
              <w:right w:val="single" w:sz="4" w:space="0" w:color="auto"/>
            </w:tcBorders>
            <w:shd w:val="clear" w:color="auto" w:fill="auto"/>
            <w:hideMark/>
          </w:tcPr>
          <w:p w14:paraId="399E9868" w14:textId="77777777" w:rsidR="000216BB" w:rsidRPr="004E30A9" w:rsidRDefault="000216BB" w:rsidP="002D39C7">
            <w:pPr>
              <w:tabs>
                <w:tab w:val="left" w:pos="540"/>
              </w:tabs>
              <w:spacing w:after="120" w:line="264" w:lineRule="auto"/>
              <w:jc w:val="both"/>
              <w:rPr>
                <w:rFonts w:ascii="Times New Roman" w:eastAsia="Arial" w:hAnsi="Times New Roman" w:cs="Times New Roman"/>
                <w:sz w:val="26"/>
                <w:szCs w:val="26"/>
              </w:rPr>
            </w:pPr>
            <w:r w:rsidRPr="004E30A9">
              <w:rPr>
                <w:rFonts w:ascii="Times New Roman" w:eastAsia="Arial" w:hAnsi="Times New Roman" w:cs="Times New Roman"/>
                <w:sz w:val="26"/>
                <w:szCs w:val="26"/>
              </w:rPr>
              <w:t>Tuyên bố của cơ quan giám sát tài chính, cơ quan có thẩm quyền hoặc cơ quan xử lý TCTD đổ vỡ/có khả năng đổ vỡ</w:t>
            </w:r>
          </w:p>
        </w:tc>
      </w:tr>
      <w:tr w:rsidR="004D2F23" w:rsidRPr="00EB6ED7" w14:paraId="5E3D3259" w14:textId="77777777" w:rsidTr="002D39C7">
        <w:tc>
          <w:tcPr>
            <w:tcW w:w="569" w:type="pct"/>
            <w:tcBorders>
              <w:top w:val="single" w:sz="4" w:space="0" w:color="auto"/>
              <w:left w:val="single" w:sz="4" w:space="0" w:color="auto"/>
              <w:bottom w:val="single" w:sz="4" w:space="0" w:color="auto"/>
              <w:right w:val="single" w:sz="4" w:space="0" w:color="auto"/>
            </w:tcBorders>
          </w:tcPr>
          <w:p w14:paraId="659F93BD" w14:textId="77777777" w:rsidR="000216BB" w:rsidRPr="004E30A9" w:rsidRDefault="000216BB" w:rsidP="002D39C7">
            <w:pPr>
              <w:tabs>
                <w:tab w:val="left" w:pos="540"/>
              </w:tabs>
              <w:spacing w:after="120" w:line="264" w:lineRule="auto"/>
              <w:jc w:val="center"/>
              <w:rPr>
                <w:rFonts w:ascii="Times New Roman" w:eastAsia="Arial" w:hAnsi="Times New Roman" w:cs="Times New Roman"/>
                <w:sz w:val="26"/>
                <w:szCs w:val="26"/>
              </w:rPr>
            </w:pPr>
            <w:r w:rsidRPr="004E30A9">
              <w:rPr>
                <w:rFonts w:ascii="Times New Roman" w:eastAsia="Arial" w:hAnsi="Times New Roman" w:cs="Times New Roman"/>
                <w:sz w:val="26"/>
                <w:szCs w:val="26"/>
              </w:rPr>
              <w:t>2</w:t>
            </w:r>
          </w:p>
        </w:tc>
        <w:tc>
          <w:tcPr>
            <w:tcW w:w="4431" w:type="pct"/>
            <w:tcBorders>
              <w:top w:val="single" w:sz="4" w:space="0" w:color="auto"/>
              <w:left w:val="single" w:sz="4" w:space="0" w:color="auto"/>
              <w:bottom w:val="single" w:sz="4" w:space="0" w:color="auto"/>
              <w:right w:val="single" w:sz="4" w:space="0" w:color="auto"/>
            </w:tcBorders>
            <w:shd w:val="clear" w:color="auto" w:fill="auto"/>
            <w:hideMark/>
          </w:tcPr>
          <w:p w14:paraId="35F39F90" w14:textId="77777777" w:rsidR="000216BB" w:rsidRPr="004E30A9" w:rsidRDefault="000216BB" w:rsidP="002D39C7">
            <w:pPr>
              <w:tabs>
                <w:tab w:val="left" w:pos="540"/>
              </w:tabs>
              <w:spacing w:after="120" w:line="264" w:lineRule="auto"/>
              <w:jc w:val="both"/>
              <w:rPr>
                <w:rFonts w:ascii="Times New Roman" w:eastAsia="Arial" w:hAnsi="Times New Roman" w:cs="Times New Roman"/>
                <w:sz w:val="26"/>
                <w:szCs w:val="26"/>
              </w:rPr>
            </w:pPr>
            <w:r w:rsidRPr="004E30A9">
              <w:rPr>
                <w:rFonts w:ascii="Times New Roman" w:eastAsia="Arial" w:hAnsi="Times New Roman" w:cs="Times New Roman"/>
                <w:sz w:val="26"/>
                <w:szCs w:val="26"/>
              </w:rPr>
              <w:t>Bắt đầu thủ tục xử lý</w:t>
            </w:r>
          </w:p>
        </w:tc>
      </w:tr>
      <w:tr w:rsidR="004D2F23" w:rsidRPr="00EB6ED7" w14:paraId="07AFACAF" w14:textId="77777777" w:rsidTr="002D39C7">
        <w:tc>
          <w:tcPr>
            <w:tcW w:w="569" w:type="pct"/>
            <w:tcBorders>
              <w:top w:val="single" w:sz="4" w:space="0" w:color="auto"/>
              <w:left w:val="single" w:sz="4" w:space="0" w:color="auto"/>
              <w:bottom w:val="single" w:sz="4" w:space="0" w:color="auto"/>
              <w:right w:val="single" w:sz="4" w:space="0" w:color="auto"/>
            </w:tcBorders>
          </w:tcPr>
          <w:p w14:paraId="6CC174C5" w14:textId="77777777" w:rsidR="000216BB" w:rsidRPr="004E30A9" w:rsidRDefault="000216BB" w:rsidP="002D39C7">
            <w:pPr>
              <w:tabs>
                <w:tab w:val="left" w:pos="540"/>
              </w:tabs>
              <w:spacing w:after="120" w:line="264" w:lineRule="auto"/>
              <w:jc w:val="center"/>
              <w:rPr>
                <w:rFonts w:ascii="Times New Roman" w:eastAsia="Arial" w:hAnsi="Times New Roman" w:cs="Times New Roman"/>
                <w:sz w:val="26"/>
                <w:szCs w:val="26"/>
              </w:rPr>
            </w:pPr>
            <w:r w:rsidRPr="004E30A9">
              <w:rPr>
                <w:rFonts w:ascii="Times New Roman" w:eastAsia="Arial" w:hAnsi="Times New Roman" w:cs="Times New Roman"/>
                <w:sz w:val="26"/>
                <w:szCs w:val="26"/>
              </w:rPr>
              <w:t>3</w:t>
            </w:r>
          </w:p>
        </w:tc>
        <w:tc>
          <w:tcPr>
            <w:tcW w:w="4431" w:type="pct"/>
            <w:tcBorders>
              <w:top w:val="single" w:sz="4" w:space="0" w:color="auto"/>
              <w:left w:val="single" w:sz="4" w:space="0" w:color="auto"/>
              <w:bottom w:val="single" w:sz="4" w:space="0" w:color="auto"/>
              <w:right w:val="single" w:sz="4" w:space="0" w:color="auto"/>
            </w:tcBorders>
            <w:shd w:val="clear" w:color="auto" w:fill="auto"/>
            <w:hideMark/>
          </w:tcPr>
          <w:p w14:paraId="54A98DBF" w14:textId="77777777" w:rsidR="000216BB" w:rsidRPr="004E30A9" w:rsidRDefault="000216BB" w:rsidP="002D39C7">
            <w:pPr>
              <w:tabs>
                <w:tab w:val="left" w:pos="540"/>
              </w:tabs>
              <w:spacing w:after="120" w:line="264" w:lineRule="auto"/>
              <w:jc w:val="both"/>
              <w:rPr>
                <w:rFonts w:ascii="Times New Roman" w:eastAsia="Arial" w:hAnsi="Times New Roman" w:cs="Times New Roman"/>
                <w:sz w:val="26"/>
                <w:szCs w:val="26"/>
              </w:rPr>
            </w:pPr>
            <w:r w:rsidRPr="004E30A9">
              <w:rPr>
                <w:rFonts w:ascii="Times New Roman" w:eastAsia="Arial" w:hAnsi="Times New Roman" w:cs="Times New Roman"/>
                <w:sz w:val="26"/>
                <w:szCs w:val="26"/>
              </w:rPr>
              <w:t>Xây dựng các chiến lược xử lý liên quan đến cơ cấu xử lý, v.v</w:t>
            </w:r>
          </w:p>
        </w:tc>
      </w:tr>
      <w:tr w:rsidR="004D2F23" w:rsidRPr="00EB6ED7" w14:paraId="6997D7CD" w14:textId="77777777" w:rsidTr="002D39C7">
        <w:tc>
          <w:tcPr>
            <w:tcW w:w="569" w:type="pct"/>
            <w:tcBorders>
              <w:top w:val="single" w:sz="4" w:space="0" w:color="auto"/>
              <w:left w:val="single" w:sz="4" w:space="0" w:color="auto"/>
              <w:bottom w:val="single" w:sz="4" w:space="0" w:color="auto"/>
              <w:right w:val="single" w:sz="4" w:space="0" w:color="auto"/>
            </w:tcBorders>
          </w:tcPr>
          <w:p w14:paraId="7980764F" w14:textId="77777777" w:rsidR="000216BB" w:rsidRPr="004E30A9" w:rsidRDefault="000216BB" w:rsidP="002D39C7">
            <w:pPr>
              <w:tabs>
                <w:tab w:val="left" w:pos="540"/>
              </w:tabs>
              <w:spacing w:after="120" w:line="264" w:lineRule="auto"/>
              <w:jc w:val="center"/>
              <w:rPr>
                <w:rFonts w:ascii="Times New Roman" w:eastAsia="Arial" w:hAnsi="Times New Roman" w:cs="Times New Roman"/>
                <w:sz w:val="26"/>
                <w:szCs w:val="26"/>
              </w:rPr>
            </w:pPr>
            <w:r w:rsidRPr="004E30A9">
              <w:rPr>
                <w:rFonts w:ascii="Times New Roman" w:eastAsia="Arial" w:hAnsi="Times New Roman" w:cs="Times New Roman"/>
                <w:sz w:val="26"/>
                <w:szCs w:val="26"/>
              </w:rPr>
              <w:t>4</w:t>
            </w:r>
          </w:p>
        </w:tc>
        <w:tc>
          <w:tcPr>
            <w:tcW w:w="4431" w:type="pct"/>
            <w:tcBorders>
              <w:top w:val="single" w:sz="4" w:space="0" w:color="auto"/>
              <w:left w:val="single" w:sz="4" w:space="0" w:color="auto"/>
              <w:bottom w:val="single" w:sz="4" w:space="0" w:color="auto"/>
              <w:right w:val="single" w:sz="4" w:space="0" w:color="auto"/>
            </w:tcBorders>
            <w:shd w:val="clear" w:color="auto" w:fill="auto"/>
            <w:hideMark/>
          </w:tcPr>
          <w:p w14:paraId="5047B281" w14:textId="77777777" w:rsidR="000216BB" w:rsidRPr="004E30A9" w:rsidRDefault="000216BB" w:rsidP="002D39C7">
            <w:pPr>
              <w:tabs>
                <w:tab w:val="left" w:pos="540"/>
              </w:tabs>
              <w:spacing w:after="120" w:line="264" w:lineRule="auto"/>
              <w:jc w:val="both"/>
              <w:rPr>
                <w:rFonts w:ascii="Times New Roman" w:eastAsia="Arial" w:hAnsi="Times New Roman" w:cs="Times New Roman"/>
                <w:sz w:val="26"/>
                <w:szCs w:val="26"/>
              </w:rPr>
            </w:pPr>
            <w:r w:rsidRPr="004E30A9">
              <w:rPr>
                <w:rFonts w:ascii="Times New Roman" w:eastAsia="Arial" w:hAnsi="Times New Roman" w:cs="Times New Roman"/>
                <w:sz w:val="26"/>
                <w:szCs w:val="26"/>
              </w:rPr>
              <w:t>Thẩm định tài sản để kiểm tra chi phí tối thiểu và thu thập thông tin</w:t>
            </w:r>
          </w:p>
        </w:tc>
      </w:tr>
      <w:tr w:rsidR="004D2F23" w:rsidRPr="00EB6ED7" w14:paraId="6C3954AE" w14:textId="77777777" w:rsidTr="002D39C7">
        <w:tc>
          <w:tcPr>
            <w:tcW w:w="569" w:type="pct"/>
            <w:tcBorders>
              <w:top w:val="single" w:sz="4" w:space="0" w:color="auto"/>
              <w:left w:val="single" w:sz="4" w:space="0" w:color="auto"/>
              <w:bottom w:val="single" w:sz="4" w:space="0" w:color="auto"/>
              <w:right w:val="single" w:sz="4" w:space="0" w:color="auto"/>
            </w:tcBorders>
          </w:tcPr>
          <w:p w14:paraId="013EC49E" w14:textId="77777777" w:rsidR="000216BB" w:rsidRPr="004E30A9" w:rsidRDefault="000216BB" w:rsidP="002D39C7">
            <w:pPr>
              <w:tabs>
                <w:tab w:val="left" w:pos="540"/>
              </w:tabs>
              <w:spacing w:after="120" w:line="264" w:lineRule="auto"/>
              <w:jc w:val="center"/>
              <w:rPr>
                <w:rFonts w:ascii="Times New Roman" w:eastAsia="Arial" w:hAnsi="Times New Roman" w:cs="Times New Roman"/>
                <w:sz w:val="26"/>
                <w:szCs w:val="26"/>
              </w:rPr>
            </w:pPr>
            <w:r w:rsidRPr="004E30A9">
              <w:rPr>
                <w:rFonts w:ascii="Times New Roman" w:eastAsia="Arial" w:hAnsi="Times New Roman" w:cs="Times New Roman"/>
                <w:sz w:val="26"/>
                <w:szCs w:val="26"/>
              </w:rPr>
              <w:t>5</w:t>
            </w:r>
          </w:p>
        </w:tc>
        <w:tc>
          <w:tcPr>
            <w:tcW w:w="4431" w:type="pct"/>
            <w:tcBorders>
              <w:top w:val="single" w:sz="4" w:space="0" w:color="auto"/>
              <w:left w:val="single" w:sz="4" w:space="0" w:color="auto"/>
              <w:bottom w:val="single" w:sz="4" w:space="0" w:color="auto"/>
              <w:right w:val="single" w:sz="4" w:space="0" w:color="auto"/>
            </w:tcBorders>
            <w:shd w:val="clear" w:color="auto" w:fill="auto"/>
            <w:hideMark/>
          </w:tcPr>
          <w:p w14:paraId="60099F83" w14:textId="77777777" w:rsidR="000216BB" w:rsidRPr="004E30A9" w:rsidRDefault="000216BB" w:rsidP="002D39C7">
            <w:pPr>
              <w:tabs>
                <w:tab w:val="left" w:pos="540"/>
              </w:tabs>
              <w:spacing w:after="120" w:line="264" w:lineRule="auto"/>
              <w:jc w:val="both"/>
              <w:rPr>
                <w:rFonts w:ascii="Times New Roman" w:eastAsia="Arial" w:hAnsi="Times New Roman" w:cs="Times New Roman"/>
                <w:sz w:val="26"/>
                <w:szCs w:val="26"/>
              </w:rPr>
            </w:pPr>
            <w:r w:rsidRPr="004E30A9">
              <w:rPr>
                <w:rFonts w:ascii="Times New Roman" w:eastAsia="Arial" w:hAnsi="Times New Roman" w:cs="Times New Roman"/>
                <w:sz w:val="26"/>
                <w:szCs w:val="26"/>
              </w:rPr>
              <w:t>Định giá tài sản</w:t>
            </w:r>
          </w:p>
        </w:tc>
      </w:tr>
      <w:tr w:rsidR="004D2F23" w:rsidRPr="00EB6ED7" w14:paraId="0459B952" w14:textId="77777777" w:rsidTr="002D39C7">
        <w:tc>
          <w:tcPr>
            <w:tcW w:w="569" w:type="pct"/>
            <w:tcBorders>
              <w:top w:val="single" w:sz="4" w:space="0" w:color="auto"/>
              <w:left w:val="single" w:sz="4" w:space="0" w:color="auto"/>
              <w:bottom w:val="single" w:sz="4" w:space="0" w:color="auto"/>
              <w:right w:val="single" w:sz="4" w:space="0" w:color="auto"/>
            </w:tcBorders>
          </w:tcPr>
          <w:p w14:paraId="6E7298AF" w14:textId="77777777" w:rsidR="000216BB" w:rsidRPr="004E30A9" w:rsidRDefault="000216BB" w:rsidP="002D39C7">
            <w:pPr>
              <w:tabs>
                <w:tab w:val="left" w:pos="540"/>
              </w:tabs>
              <w:spacing w:after="120" w:line="264" w:lineRule="auto"/>
              <w:jc w:val="center"/>
              <w:rPr>
                <w:rFonts w:ascii="Times New Roman" w:eastAsia="Arial" w:hAnsi="Times New Roman" w:cs="Times New Roman"/>
                <w:sz w:val="26"/>
                <w:szCs w:val="26"/>
              </w:rPr>
            </w:pPr>
            <w:r w:rsidRPr="004E30A9">
              <w:rPr>
                <w:rFonts w:ascii="Times New Roman" w:eastAsia="Arial" w:hAnsi="Times New Roman" w:cs="Times New Roman"/>
                <w:sz w:val="26"/>
                <w:szCs w:val="26"/>
              </w:rPr>
              <w:t>6</w:t>
            </w:r>
          </w:p>
        </w:tc>
        <w:tc>
          <w:tcPr>
            <w:tcW w:w="4431" w:type="pct"/>
            <w:tcBorders>
              <w:top w:val="single" w:sz="4" w:space="0" w:color="auto"/>
              <w:left w:val="single" w:sz="4" w:space="0" w:color="auto"/>
              <w:bottom w:val="single" w:sz="4" w:space="0" w:color="auto"/>
              <w:right w:val="single" w:sz="4" w:space="0" w:color="auto"/>
            </w:tcBorders>
            <w:shd w:val="clear" w:color="auto" w:fill="auto"/>
            <w:hideMark/>
          </w:tcPr>
          <w:p w14:paraId="3D586CFB" w14:textId="77777777" w:rsidR="000216BB" w:rsidRPr="004E30A9" w:rsidRDefault="000216BB" w:rsidP="002D39C7">
            <w:pPr>
              <w:tabs>
                <w:tab w:val="left" w:pos="540"/>
              </w:tabs>
              <w:spacing w:after="120" w:line="264" w:lineRule="auto"/>
              <w:jc w:val="both"/>
              <w:rPr>
                <w:rFonts w:ascii="Times New Roman" w:eastAsia="Arial" w:hAnsi="Times New Roman" w:cs="Times New Roman"/>
                <w:sz w:val="26"/>
                <w:szCs w:val="26"/>
              </w:rPr>
            </w:pPr>
            <w:r w:rsidRPr="004E30A9">
              <w:rPr>
                <w:rFonts w:ascii="Times New Roman" w:eastAsia="Arial" w:hAnsi="Times New Roman" w:cs="Times New Roman"/>
                <w:sz w:val="26"/>
                <w:szCs w:val="26"/>
              </w:rPr>
              <w:t>Thông báo đấu giá và tiếp thị cho các TCTD lành mạnh tiềm năng</w:t>
            </w:r>
          </w:p>
        </w:tc>
      </w:tr>
      <w:tr w:rsidR="004D2F23" w:rsidRPr="00EB6ED7" w14:paraId="6AC6BBC0" w14:textId="77777777" w:rsidTr="002D39C7">
        <w:tc>
          <w:tcPr>
            <w:tcW w:w="569" w:type="pct"/>
            <w:tcBorders>
              <w:top w:val="single" w:sz="4" w:space="0" w:color="auto"/>
              <w:left w:val="single" w:sz="4" w:space="0" w:color="auto"/>
              <w:bottom w:val="single" w:sz="4" w:space="0" w:color="auto"/>
              <w:right w:val="single" w:sz="4" w:space="0" w:color="auto"/>
            </w:tcBorders>
          </w:tcPr>
          <w:p w14:paraId="012733FE" w14:textId="77777777" w:rsidR="000216BB" w:rsidRPr="004E30A9" w:rsidRDefault="000216BB" w:rsidP="002D39C7">
            <w:pPr>
              <w:tabs>
                <w:tab w:val="left" w:pos="540"/>
              </w:tabs>
              <w:spacing w:after="120" w:line="264" w:lineRule="auto"/>
              <w:jc w:val="center"/>
              <w:rPr>
                <w:rFonts w:ascii="Times New Roman" w:eastAsia="Arial" w:hAnsi="Times New Roman" w:cs="Times New Roman"/>
                <w:sz w:val="26"/>
                <w:szCs w:val="26"/>
              </w:rPr>
            </w:pPr>
            <w:r w:rsidRPr="004E30A9">
              <w:rPr>
                <w:rFonts w:ascii="Times New Roman" w:eastAsia="Arial" w:hAnsi="Times New Roman" w:cs="Times New Roman"/>
                <w:sz w:val="26"/>
                <w:szCs w:val="26"/>
              </w:rPr>
              <w:t>7</w:t>
            </w:r>
          </w:p>
        </w:tc>
        <w:tc>
          <w:tcPr>
            <w:tcW w:w="4431" w:type="pct"/>
            <w:tcBorders>
              <w:top w:val="single" w:sz="4" w:space="0" w:color="auto"/>
              <w:left w:val="single" w:sz="4" w:space="0" w:color="auto"/>
              <w:bottom w:val="single" w:sz="4" w:space="0" w:color="auto"/>
              <w:right w:val="single" w:sz="4" w:space="0" w:color="auto"/>
            </w:tcBorders>
            <w:shd w:val="clear" w:color="auto" w:fill="auto"/>
            <w:hideMark/>
          </w:tcPr>
          <w:p w14:paraId="58024966" w14:textId="77777777" w:rsidR="000216BB" w:rsidRPr="004E30A9" w:rsidRDefault="000216BB" w:rsidP="002D39C7">
            <w:pPr>
              <w:tabs>
                <w:tab w:val="left" w:pos="540"/>
              </w:tabs>
              <w:spacing w:after="120" w:line="264" w:lineRule="auto"/>
              <w:jc w:val="both"/>
              <w:rPr>
                <w:rFonts w:ascii="Times New Roman" w:eastAsia="Arial" w:hAnsi="Times New Roman" w:cs="Times New Roman"/>
                <w:sz w:val="26"/>
                <w:szCs w:val="26"/>
              </w:rPr>
            </w:pPr>
            <w:r w:rsidRPr="004E30A9">
              <w:rPr>
                <w:rFonts w:ascii="Times New Roman" w:eastAsia="Arial" w:hAnsi="Times New Roman" w:cs="Times New Roman"/>
                <w:sz w:val="26"/>
                <w:szCs w:val="26"/>
              </w:rPr>
              <w:t>Các bên tham gia đấu giá thực hiện thẩm định</w:t>
            </w:r>
          </w:p>
        </w:tc>
      </w:tr>
      <w:tr w:rsidR="004D2F23" w:rsidRPr="00EB6ED7" w14:paraId="0F0CBA15" w14:textId="77777777" w:rsidTr="002D39C7">
        <w:tc>
          <w:tcPr>
            <w:tcW w:w="569" w:type="pct"/>
            <w:tcBorders>
              <w:top w:val="single" w:sz="4" w:space="0" w:color="auto"/>
              <w:left w:val="single" w:sz="4" w:space="0" w:color="auto"/>
              <w:bottom w:val="single" w:sz="4" w:space="0" w:color="auto"/>
              <w:right w:val="single" w:sz="4" w:space="0" w:color="auto"/>
            </w:tcBorders>
          </w:tcPr>
          <w:p w14:paraId="651D970E" w14:textId="77777777" w:rsidR="000216BB" w:rsidRPr="004E30A9" w:rsidRDefault="000216BB" w:rsidP="002D39C7">
            <w:pPr>
              <w:tabs>
                <w:tab w:val="left" w:pos="540"/>
              </w:tabs>
              <w:spacing w:after="120" w:line="264" w:lineRule="auto"/>
              <w:jc w:val="center"/>
              <w:rPr>
                <w:rFonts w:ascii="Times New Roman" w:eastAsia="Arial" w:hAnsi="Times New Roman" w:cs="Times New Roman"/>
                <w:sz w:val="26"/>
                <w:szCs w:val="26"/>
              </w:rPr>
            </w:pPr>
            <w:r w:rsidRPr="004E30A9">
              <w:rPr>
                <w:rFonts w:ascii="Times New Roman" w:eastAsia="Arial" w:hAnsi="Times New Roman" w:cs="Times New Roman"/>
                <w:sz w:val="26"/>
                <w:szCs w:val="26"/>
              </w:rPr>
              <w:t>8</w:t>
            </w:r>
          </w:p>
        </w:tc>
        <w:tc>
          <w:tcPr>
            <w:tcW w:w="4431" w:type="pct"/>
            <w:tcBorders>
              <w:top w:val="single" w:sz="4" w:space="0" w:color="auto"/>
              <w:left w:val="single" w:sz="4" w:space="0" w:color="auto"/>
              <w:bottom w:val="single" w:sz="4" w:space="0" w:color="auto"/>
              <w:right w:val="single" w:sz="4" w:space="0" w:color="auto"/>
            </w:tcBorders>
            <w:shd w:val="clear" w:color="auto" w:fill="auto"/>
            <w:hideMark/>
          </w:tcPr>
          <w:p w14:paraId="3B38D9EA" w14:textId="77777777" w:rsidR="000216BB" w:rsidRPr="004E30A9" w:rsidRDefault="000216BB" w:rsidP="002D39C7">
            <w:pPr>
              <w:tabs>
                <w:tab w:val="left" w:pos="540"/>
              </w:tabs>
              <w:spacing w:after="120" w:line="264" w:lineRule="auto"/>
              <w:jc w:val="both"/>
              <w:rPr>
                <w:rFonts w:ascii="Times New Roman" w:eastAsia="Arial" w:hAnsi="Times New Roman" w:cs="Times New Roman"/>
                <w:sz w:val="26"/>
                <w:szCs w:val="26"/>
              </w:rPr>
            </w:pPr>
            <w:r w:rsidRPr="004E30A9">
              <w:rPr>
                <w:rFonts w:ascii="Times New Roman" w:eastAsia="Arial" w:hAnsi="Times New Roman" w:cs="Times New Roman"/>
                <w:sz w:val="26"/>
                <w:szCs w:val="26"/>
              </w:rPr>
              <w:t>Đấu giá</w:t>
            </w:r>
          </w:p>
        </w:tc>
      </w:tr>
      <w:tr w:rsidR="004D2F23" w:rsidRPr="00EB6ED7" w14:paraId="65356339" w14:textId="77777777" w:rsidTr="002D39C7">
        <w:tc>
          <w:tcPr>
            <w:tcW w:w="569" w:type="pct"/>
            <w:tcBorders>
              <w:top w:val="single" w:sz="4" w:space="0" w:color="auto"/>
              <w:left w:val="single" w:sz="4" w:space="0" w:color="auto"/>
              <w:bottom w:val="single" w:sz="4" w:space="0" w:color="auto"/>
              <w:right w:val="single" w:sz="4" w:space="0" w:color="auto"/>
            </w:tcBorders>
          </w:tcPr>
          <w:p w14:paraId="764B6375" w14:textId="77777777" w:rsidR="000216BB" w:rsidRPr="004E30A9" w:rsidRDefault="000216BB" w:rsidP="002D39C7">
            <w:pPr>
              <w:tabs>
                <w:tab w:val="left" w:pos="540"/>
              </w:tabs>
              <w:spacing w:after="120" w:line="264" w:lineRule="auto"/>
              <w:jc w:val="center"/>
              <w:rPr>
                <w:rFonts w:ascii="Times New Roman" w:eastAsia="Arial" w:hAnsi="Times New Roman" w:cs="Times New Roman"/>
                <w:sz w:val="26"/>
                <w:szCs w:val="26"/>
              </w:rPr>
            </w:pPr>
            <w:r w:rsidRPr="004E30A9">
              <w:rPr>
                <w:rFonts w:ascii="Times New Roman" w:eastAsia="Arial" w:hAnsi="Times New Roman" w:cs="Times New Roman"/>
                <w:sz w:val="26"/>
                <w:szCs w:val="26"/>
              </w:rPr>
              <w:t>9</w:t>
            </w:r>
          </w:p>
        </w:tc>
        <w:tc>
          <w:tcPr>
            <w:tcW w:w="4431" w:type="pct"/>
            <w:tcBorders>
              <w:top w:val="single" w:sz="4" w:space="0" w:color="auto"/>
              <w:left w:val="single" w:sz="4" w:space="0" w:color="auto"/>
              <w:bottom w:val="single" w:sz="4" w:space="0" w:color="auto"/>
              <w:right w:val="single" w:sz="4" w:space="0" w:color="auto"/>
            </w:tcBorders>
            <w:shd w:val="clear" w:color="auto" w:fill="auto"/>
            <w:hideMark/>
          </w:tcPr>
          <w:p w14:paraId="453389AC" w14:textId="77777777" w:rsidR="000216BB" w:rsidRPr="004E30A9" w:rsidRDefault="000216BB" w:rsidP="002D39C7">
            <w:pPr>
              <w:tabs>
                <w:tab w:val="left" w:pos="540"/>
              </w:tabs>
              <w:spacing w:after="120" w:line="264" w:lineRule="auto"/>
              <w:jc w:val="both"/>
              <w:rPr>
                <w:rFonts w:ascii="Times New Roman" w:eastAsia="Arial" w:hAnsi="Times New Roman" w:cs="Times New Roman"/>
                <w:sz w:val="26"/>
                <w:szCs w:val="26"/>
              </w:rPr>
            </w:pPr>
            <w:r w:rsidRPr="004E30A9">
              <w:rPr>
                <w:rFonts w:ascii="Times New Roman" w:eastAsia="Arial" w:hAnsi="Times New Roman" w:cs="Times New Roman"/>
                <w:sz w:val="26"/>
                <w:szCs w:val="26"/>
              </w:rPr>
              <w:t>Kiểm tra chi phí tối thiểu và lựa chọn đơn vị trúng đấu giá</w:t>
            </w:r>
          </w:p>
        </w:tc>
      </w:tr>
      <w:tr w:rsidR="004D2F23" w:rsidRPr="00EB6ED7" w14:paraId="1271488C" w14:textId="77777777" w:rsidTr="002D39C7">
        <w:tc>
          <w:tcPr>
            <w:tcW w:w="569" w:type="pct"/>
            <w:tcBorders>
              <w:top w:val="single" w:sz="4" w:space="0" w:color="auto"/>
              <w:left w:val="single" w:sz="4" w:space="0" w:color="auto"/>
              <w:bottom w:val="single" w:sz="4" w:space="0" w:color="auto"/>
              <w:right w:val="single" w:sz="4" w:space="0" w:color="auto"/>
            </w:tcBorders>
          </w:tcPr>
          <w:p w14:paraId="4C2C7672" w14:textId="77777777" w:rsidR="000216BB" w:rsidRPr="004E30A9" w:rsidRDefault="000216BB" w:rsidP="002D39C7">
            <w:pPr>
              <w:tabs>
                <w:tab w:val="left" w:pos="540"/>
              </w:tabs>
              <w:spacing w:after="120" w:line="264" w:lineRule="auto"/>
              <w:jc w:val="center"/>
              <w:rPr>
                <w:rFonts w:ascii="Times New Roman" w:eastAsia="Arial" w:hAnsi="Times New Roman" w:cs="Times New Roman"/>
                <w:sz w:val="26"/>
                <w:szCs w:val="26"/>
              </w:rPr>
            </w:pPr>
            <w:r w:rsidRPr="004E30A9">
              <w:rPr>
                <w:rFonts w:ascii="Times New Roman" w:eastAsia="Arial" w:hAnsi="Times New Roman" w:cs="Times New Roman"/>
                <w:sz w:val="26"/>
                <w:szCs w:val="26"/>
              </w:rPr>
              <w:t>10</w:t>
            </w:r>
          </w:p>
        </w:tc>
        <w:tc>
          <w:tcPr>
            <w:tcW w:w="4431" w:type="pct"/>
            <w:tcBorders>
              <w:top w:val="single" w:sz="4" w:space="0" w:color="auto"/>
              <w:left w:val="single" w:sz="4" w:space="0" w:color="auto"/>
              <w:bottom w:val="single" w:sz="4" w:space="0" w:color="auto"/>
              <w:right w:val="single" w:sz="4" w:space="0" w:color="auto"/>
            </w:tcBorders>
            <w:shd w:val="clear" w:color="auto" w:fill="auto"/>
            <w:hideMark/>
          </w:tcPr>
          <w:p w14:paraId="60C8CD1A" w14:textId="77777777" w:rsidR="000216BB" w:rsidRPr="004E30A9" w:rsidRDefault="000216BB" w:rsidP="002D39C7">
            <w:pPr>
              <w:tabs>
                <w:tab w:val="left" w:pos="540"/>
              </w:tabs>
              <w:spacing w:after="120" w:line="264" w:lineRule="auto"/>
              <w:jc w:val="both"/>
              <w:rPr>
                <w:rFonts w:ascii="Times New Roman" w:eastAsia="Arial" w:hAnsi="Times New Roman" w:cs="Times New Roman"/>
                <w:sz w:val="26"/>
                <w:szCs w:val="26"/>
              </w:rPr>
            </w:pPr>
            <w:r w:rsidRPr="004E30A9">
              <w:rPr>
                <w:rFonts w:ascii="Times New Roman" w:eastAsia="Arial" w:hAnsi="Times New Roman" w:cs="Times New Roman"/>
                <w:sz w:val="26"/>
                <w:szCs w:val="26"/>
              </w:rPr>
              <w:t>Thông báo cho đơn vị trúng đấu giá</w:t>
            </w:r>
          </w:p>
        </w:tc>
      </w:tr>
      <w:tr w:rsidR="004D2F23" w:rsidRPr="00EB6ED7" w14:paraId="42375907" w14:textId="77777777" w:rsidTr="002D39C7">
        <w:tc>
          <w:tcPr>
            <w:tcW w:w="569" w:type="pct"/>
            <w:tcBorders>
              <w:top w:val="single" w:sz="4" w:space="0" w:color="auto"/>
              <w:left w:val="single" w:sz="4" w:space="0" w:color="auto"/>
              <w:bottom w:val="single" w:sz="4" w:space="0" w:color="auto"/>
              <w:right w:val="single" w:sz="4" w:space="0" w:color="auto"/>
            </w:tcBorders>
          </w:tcPr>
          <w:p w14:paraId="1EF8DE21" w14:textId="77777777" w:rsidR="000216BB" w:rsidRPr="004E30A9" w:rsidRDefault="000216BB" w:rsidP="002D39C7">
            <w:pPr>
              <w:tabs>
                <w:tab w:val="left" w:pos="540"/>
              </w:tabs>
              <w:spacing w:after="120" w:line="264" w:lineRule="auto"/>
              <w:jc w:val="center"/>
              <w:rPr>
                <w:rFonts w:ascii="Times New Roman" w:eastAsia="Arial" w:hAnsi="Times New Roman" w:cs="Times New Roman"/>
                <w:sz w:val="26"/>
                <w:szCs w:val="26"/>
              </w:rPr>
            </w:pPr>
            <w:r w:rsidRPr="004E30A9">
              <w:rPr>
                <w:rFonts w:ascii="Times New Roman" w:eastAsia="Arial" w:hAnsi="Times New Roman" w:cs="Times New Roman"/>
                <w:sz w:val="26"/>
                <w:szCs w:val="26"/>
              </w:rPr>
              <w:t>11</w:t>
            </w:r>
          </w:p>
        </w:tc>
        <w:tc>
          <w:tcPr>
            <w:tcW w:w="4431" w:type="pct"/>
            <w:tcBorders>
              <w:top w:val="single" w:sz="4" w:space="0" w:color="auto"/>
              <w:left w:val="single" w:sz="4" w:space="0" w:color="auto"/>
              <w:bottom w:val="single" w:sz="4" w:space="0" w:color="auto"/>
              <w:right w:val="single" w:sz="4" w:space="0" w:color="auto"/>
            </w:tcBorders>
            <w:shd w:val="clear" w:color="auto" w:fill="auto"/>
            <w:hideMark/>
          </w:tcPr>
          <w:p w14:paraId="4C6E6577" w14:textId="77777777" w:rsidR="000216BB" w:rsidRPr="004E30A9" w:rsidRDefault="000216BB" w:rsidP="002D39C7">
            <w:pPr>
              <w:tabs>
                <w:tab w:val="left" w:pos="540"/>
              </w:tabs>
              <w:spacing w:after="120" w:line="264" w:lineRule="auto"/>
              <w:jc w:val="both"/>
              <w:rPr>
                <w:rFonts w:ascii="Times New Roman" w:eastAsia="Arial" w:hAnsi="Times New Roman" w:cs="Times New Roman"/>
                <w:sz w:val="26"/>
                <w:szCs w:val="26"/>
              </w:rPr>
            </w:pPr>
            <w:r w:rsidRPr="004E30A9">
              <w:rPr>
                <w:rFonts w:ascii="Times New Roman" w:eastAsia="Arial" w:hAnsi="Times New Roman" w:cs="Times New Roman"/>
                <w:sz w:val="26"/>
                <w:szCs w:val="26"/>
              </w:rPr>
              <w:t>Ký kết hợp đồng</w:t>
            </w:r>
          </w:p>
        </w:tc>
      </w:tr>
      <w:tr w:rsidR="004D2F23" w:rsidRPr="00EB6ED7" w14:paraId="3520B8E5" w14:textId="77777777" w:rsidTr="002D39C7">
        <w:tc>
          <w:tcPr>
            <w:tcW w:w="569" w:type="pct"/>
            <w:tcBorders>
              <w:top w:val="single" w:sz="4" w:space="0" w:color="auto"/>
              <w:left w:val="single" w:sz="4" w:space="0" w:color="auto"/>
              <w:bottom w:val="single" w:sz="4" w:space="0" w:color="auto"/>
              <w:right w:val="single" w:sz="4" w:space="0" w:color="auto"/>
            </w:tcBorders>
          </w:tcPr>
          <w:p w14:paraId="605F305E" w14:textId="77777777" w:rsidR="000216BB" w:rsidRPr="004E30A9" w:rsidRDefault="000216BB" w:rsidP="002D39C7">
            <w:pPr>
              <w:tabs>
                <w:tab w:val="left" w:pos="540"/>
              </w:tabs>
              <w:spacing w:after="120" w:line="264" w:lineRule="auto"/>
              <w:jc w:val="center"/>
              <w:rPr>
                <w:rFonts w:ascii="Times New Roman" w:eastAsia="Arial" w:hAnsi="Times New Roman" w:cs="Times New Roman"/>
                <w:sz w:val="26"/>
                <w:szCs w:val="26"/>
              </w:rPr>
            </w:pPr>
            <w:r w:rsidRPr="004E30A9">
              <w:rPr>
                <w:rFonts w:ascii="Times New Roman" w:eastAsia="Arial" w:hAnsi="Times New Roman" w:cs="Times New Roman"/>
                <w:sz w:val="26"/>
                <w:szCs w:val="26"/>
              </w:rPr>
              <w:t>12</w:t>
            </w:r>
          </w:p>
        </w:tc>
        <w:tc>
          <w:tcPr>
            <w:tcW w:w="4431" w:type="pct"/>
            <w:tcBorders>
              <w:top w:val="single" w:sz="4" w:space="0" w:color="auto"/>
              <w:left w:val="single" w:sz="4" w:space="0" w:color="auto"/>
              <w:bottom w:val="single" w:sz="4" w:space="0" w:color="auto"/>
              <w:right w:val="single" w:sz="4" w:space="0" w:color="auto"/>
            </w:tcBorders>
            <w:shd w:val="clear" w:color="auto" w:fill="auto"/>
            <w:hideMark/>
          </w:tcPr>
          <w:p w14:paraId="3ECF6349" w14:textId="77777777" w:rsidR="000216BB" w:rsidRPr="004E30A9" w:rsidRDefault="000216BB" w:rsidP="002D39C7">
            <w:pPr>
              <w:tabs>
                <w:tab w:val="left" w:pos="540"/>
              </w:tabs>
              <w:spacing w:after="120" w:line="264" w:lineRule="auto"/>
              <w:jc w:val="both"/>
              <w:rPr>
                <w:rFonts w:ascii="Times New Roman" w:eastAsia="Arial" w:hAnsi="Times New Roman" w:cs="Times New Roman"/>
                <w:sz w:val="26"/>
                <w:szCs w:val="26"/>
              </w:rPr>
            </w:pPr>
            <w:r w:rsidRPr="004E30A9">
              <w:rPr>
                <w:rFonts w:ascii="Times New Roman" w:eastAsia="Arial" w:hAnsi="Times New Roman" w:cs="Times New Roman"/>
                <w:sz w:val="26"/>
                <w:szCs w:val="26"/>
              </w:rPr>
              <w:t>Ra quyết định P&amp;A</w:t>
            </w:r>
          </w:p>
        </w:tc>
      </w:tr>
      <w:tr w:rsidR="004D2F23" w:rsidRPr="00EB6ED7" w14:paraId="31057B7C" w14:textId="77777777" w:rsidTr="002D39C7">
        <w:tc>
          <w:tcPr>
            <w:tcW w:w="569" w:type="pct"/>
            <w:tcBorders>
              <w:top w:val="single" w:sz="4" w:space="0" w:color="auto"/>
              <w:left w:val="single" w:sz="4" w:space="0" w:color="auto"/>
              <w:bottom w:val="single" w:sz="4" w:space="0" w:color="auto"/>
              <w:right w:val="single" w:sz="4" w:space="0" w:color="auto"/>
            </w:tcBorders>
          </w:tcPr>
          <w:p w14:paraId="4361E6B5" w14:textId="77777777" w:rsidR="000216BB" w:rsidRPr="004E30A9" w:rsidRDefault="000216BB" w:rsidP="002D39C7">
            <w:pPr>
              <w:tabs>
                <w:tab w:val="left" w:pos="540"/>
              </w:tabs>
              <w:spacing w:after="120" w:line="264" w:lineRule="auto"/>
              <w:jc w:val="center"/>
              <w:rPr>
                <w:rFonts w:ascii="Times New Roman" w:eastAsia="Arial" w:hAnsi="Times New Roman" w:cs="Times New Roman"/>
                <w:sz w:val="26"/>
                <w:szCs w:val="26"/>
              </w:rPr>
            </w:pPr>
            <w:r w:rsidRPr="004E30A9">
              <w:rPr>
                <w:rFonts w:ascii="Times New Roman" w:eastAsia="Arial" w:hAnsi="Times New Roman" w:cs="Times New Roman"/>
                <w:sz w:val="26"/>
                <w:szCs w:val="26"/>
              </w:rPr>
              <w:t>13</w:t>
            </w:r>
          </w:p>
        </w:tc>
        <w:tc>
          <w:tcPr>
            <w:tcW w:w="4431" w:type="pct"/>
            <w:tcBorders>
              <w:top w:val="single" w:sz="4" w:space="0" w:color="auto"/>
              <w:left w:val="single" w:sz="4" w:space="0" w:color="auto"/>
              <w:bottom w:val="single" w:sz="4" w:space="0" w:color="auto"/>
              <w:right w:val="single" w:sz="4" w:space="0" w:color="auto"/>
            </w:tcBorders>
            <w:shd w:val="clear" w:color="auto" w:fill="auto"/>
            <w:hideMark/>
          </w:tcPr>
          <w:p w14:paraId="1DDC8C77" w14:textId="77777777" w:rsidR="000216BB" w:rsidRPr="004E30A9" w:rsidRDefault="000216BB" w:rsidP="002D39C7">
            <w:pPr>
              <w:tabs>
                <w:tab w:val="left" w:pos="540"/>
              </w:tabs>
              <w:spacing w:after="120" w:line="264" w:lineRule="auto"/>
              <w:jc w:val="both"/>
              <w:rPr>
                <w:rFonts w:ascii="Times New Roman" w:eastAsia="Arial" w:hAnsi="Times New Roman" w:cs="Times New Roman"/>
                <w:sz w:val="26"/>
                <w:szCs w:val="26"/>
              </w:rPr>
            </w:pPr>
            <w:r w:rsidRPr="004E30A9">
              <w:rPr>
                <w:rFonts w:ascii="Times New Roman" w:eastAsia="Arial" w:hAnsi="Times New Roman" w:cs="Times New Roman"/>
                <w:sz w:val="26"/>
                <w:szCs w:val="26"/>
              </w:rPr>
              <w:t>Đặt tổ chức vào tình trạng tiếp quản và thông báo tiến hành giao dịch P&amp;A</w:t>
            </w:r>
          </w:p>
        </w:tc>
      </w:tr>
    </w:tbl>
    <w:p w14:paraId="5CE601C1" w14:textId="77777777" w:rsidR="00432E90" w:rsidRPr="004E30A9" w:rsidRDefault="00432E90" w:rsidP="00432E90">
      <w:pPr>
        <w:tabs>
          <w:tab w:val="left" w:pos="540"/>
        </w:tabs>
        <w:spacing w:after="120" w:line="264" w:lineRule="auto"/>
        <w:ind w:firstLine="720"/>
        <w:jc w:val="both"/>
        <w:rPr>
          <w:rFonts w:ascii="Times New Roman" w:hAnsi="Times New Roman" w:cs="Times New Roman"/>
          <w:b/>
          <w:sz w:val="26"/>
          <w:szCs w:val="26"/>
        </w:rPr>
      </w:pPr>
      <w:r w:rsidRPr="004E30A9">
        <w:rPr>
          <w:rFonts w:ascii="Times New Roman" w:hAnsi="Times New Roman" w:cs="Times New Roman"/>
          <w:b/>
          <w:sz w:val="26"/>
          <w:szCs w:val="26"/>
        </w:rPr>
        <w:t>- Chia sẻ tổn thất:</w:t>
      </w:r>
    </w:p>
    <w:p w14:paraId="69C3D8C6" w14:textId="7EDE2C77" w:rsidR="000216BB" w:rsidRPr="004E30A9" w:rsidRDefault="000216BB" w:rsidP="00432E90">
      <w:pPr>
        <w:tabs>
          <w:tab w:val="left" w:pos="540"/>
        </w:tabs>
        <w:spacing w:after="120" w:line="264" w:lineRule="auto"/>
        <w:ind w:firstLine="720"/>
        <w:jc w:val="both"/>
        <w:rPr>
          <w:rFonts w:ascii="Times New Roman" w:hAnsi="Times New Roman" w:cs="Times New Roman"/>
          <w:sz w:val="26"/>
          <w:szCs w:val="26"/>
        </w:rPr>
      </w:pPr>
      <w:r w:rsidRPr="004E30A9">
        <w:rPr>
          <w:rFonts w:ascii="Times New Roman" w:hAnsi="Times New Roman" w:cs="Times New Roman"/>
          <w:sz w:val="26"/>
          <w:szCs w:val="26"/>
        </w:rPr>
        <w:t>Khi xử lý một tổ chức đổ vỡ thông qua giao dịch P&amp;A, FDIC có thể hỗ trợ cho bên mua lại thông qua thỏa thuận chia sẻ tổn thất. Đặc biệt, trong trường hợp một tổ chức lớn đổ vỡ, bên mua lại có thể yêu cầu có sự hỗ trợ tài chính như một động lực để thực hiện việc mua lại. Thường thì một tổ chức đổ vỡ có nhiều nợ hơn tài sản và cơ quan xử lý sẽ bù đắp phần thiếu hụt giữa giá trị tài sản và giá trị nợ, tùy thuộc vào giới hạn được huy động từ quỹ BHTG hoặc quỹ xử lý. Các khoản bù đắp này cùng với các khoản chi trả bằng tiền mặt cho các khoản tiền gửi được bảo hiểm được lấy từ nguồn quỹ BHTG, do đó có thể gây ảnh hưởng đến sự ổn định của quỹ BHTG. Đôi khi, số tiền cần thiết lớn đến mức không thể chỉ được tài trợ bằng quỹ BHTG, mà còn cần phải có một cơ chế tài trợ dự phòng bổ sung.</w:t>
      </w:r>
    </w:p>
    <w:p w14:paraId="196019A5" w14:textId="77777777" w:rsidR="000216BB" w:rsidRPr="004E30A9" w:rsidRDefault="000216BB" w:rsidP="000216BB">
      <w:pPr>
        <w:tabs>
          <w:tab w:val="left" w:pos="540"/>
        </w:tabs>
        <w:spacing w:after="120" w:line="264" w:lineRule="auto"/>
        <w:ind w:firstLine="720"/>
        <w:jc w:val="both"/>
        <w:rPr>
          <w:rFonts w:ascii="Times New Roman" w:hAnsi="Times New Roman" w:cs="Times New Roman"/>
          <w:sz w:val="26"/>
          <w:szCs w:val="26"/>
        </w:rPr>
      </w:pPr>
      <w:r w:rsidRPr="004E30A9">
        <w:rPr>
          <w:rFonts w:ascii="Times New Roman" w:hAnsi="Times New Roman" w:cs="Times New Roman"/>
          <w:sz w:val="26"/>
          <w:szCs w:val="26"/>
        </w:rPr>
        <w:t xml:space="preserve"> Cụ thể, thỏa thuận chia sẻ tổn thất được thực hiện giữa FDIC và bên mua lại tại thời điểm đóng cửa ngân hàng (tổ chức đổ vỡ). Theo các điều khoản của thỏa thuận chia sẻ tổn thất, FDIC sẽ chịu một phần tổn thất trên các tài sản cụ thể được bán lên đến một mức nhất định. Bên mua lại sẽ chịu phần tổn thất còn lại. Ngược lại, FDIC có thể nhận được tiền lãi nếu tổ chức mua lại kiếm được tiền từ tài sản mua lại thuộc phạm vi thỏa thuận của thỏa thuận chia sẻ tổn thất.</w:t>
      </w:r>
    </w:p>
    <w:p w14:paraId="16C49022" w14:textId="77777777" w:rsidR="000216BB" w:rsidRPr="004E30A9" w:rsidRDefault="000216BB" w:rsidP="000216BB">
      <w:pPr>
        <w:tabs>
          <w:tab w:val="left" w:pos="540"/>
        </w:tabs>
        <w:spacing w:after="120" w:line="264" w:lineRule="auto"/>
        <w:ind w:firstLine="720"/>
        <w:jc w:val="both"/>
        <w:rPr>
          <w:rFonts w:ascii="Times New Roman" w:hAnsi="Times New Roman" w:cs="Times New Roman"/>
          <w:sz w:val="26"/>
          <w:szCs w:val="26"/>
        </w:rPr>
      </w:pPr>
      <w:r w:rsidRPr="004E30A9">
        <w:rPr>
          <w:rFonts w:ascii="Times New Roman" w:hAnsi="Times New Roman" w:cs="Times New Roman"/>
          <w:sz w:val="26"/>
          <w:szCs w:val="26"/>
        </w:rPr>
        <w:t xml:space="preserve">Khi FDIC tính toán chi phí ước tính để xử lý đổ vỡ, tất cả các tổn thất dự kiến trên các tài sản được nêu trong thỏa thuận chia sẻ tổn thất đều được xem xét. Bất kỳ khoản thanh toán chia sẻ tổn thất nào trong tương lai đều được thực hiện từ nguồn vốn tiếp nhận từ ngân </w:t>
      </w:r>
      <w:r w:rsidRPr="004E30A9">
        <w:rPr>
          <w:rFonts w:ascii="Times New Roman" w:hAnsi="Times New Roman" w:cs="Times New Roman"/>
          <w:sz w:val="26"/>
          <w:szCs w:val="26"/>
        </w:rPr>
        <w:lastRenderedPageBreak/>
        <w:t xml:space="preserve">hàng đã đổ vỡ. Nếu nguồn vốn này không đủ, các khoản thanh toán chia sẻ tổn thất sẽ được lấy từ quỹ BHTG của FDIC. </w:t>
      </w:r>
    </w:p>
    <w:p w14:paraId="14CCDA58" w14:textId="0B3DB14C" w:rsidR="000216BB" w:rsidRPr="004E30A9" w:rsidRDefault="000216BB" w:rsidP="00EB6ED7">
      <w:pPr>
        <w:tabs>
          <w:tab w:val="left" w:pos="540"/>
        </w:tabs>
        <w:spacing w:after="120" w:line="264" w:lineRule="auto"/>
        <w:ind w:firstLine="720"/>
        <w:jc w:val="both"/>
        <w:rPr>
          <w:rFonts w:ascii="Times New Roman" w:hAnsi="Times New Roman" w:cs="Times New Roman"/>
          <w:sz w:val="26"/>
          <w:szCs w:val="26"/>
        </w:rPr>
      </w:pPr>
      <w:r w:rsidRPr="004E30A9">
        <w:rPr>
          <w:rFonts w:ascii="Times New Roman" w:hAnsi="Times New Roman" w:cs="Times New Roman"/>
          <w:sz w:val="26"/>
          <w:szCs w:val="26"/>
        </w:rPr>
        <w:t xml:space="preserve">Gần đây, FDIC cũng sử dụng biện pháp P&amp;A để xử lý ngân hàng </w:t>
      </w:r>
      <w:r w:rsidRPr="004E30A9">
        <w:rPr>
          <w:rFonts w:ascii="Times New Roman" w:eastAsia="Malgun Gothic" w:hAnsi="Times New Roman" w:cs="Times New Roman"/>
          <w:sz w:val="26"/>
          <w:szCs w:val="26"/>
          <w:lang w:eastAsia="ko-KR"/>
        </w:rPr>
        <w:t xml:space="preserve">Silicon Valley </w:t>
      </w:r>
      <w:r w:rsidRPr="004E30A9">
        <w:rPr>
          <w:rFonts w:ascii="Times New Roman" w:hAnsi="Times New Roman" w:cs="Times New Roman"/>
          <w:sz w:val="26"/>
          <w:szCs w:val="26"/>
        </w:rPr>
        <w:t>và ngân hàng</w:t>
      </w:r>
      <w:r w:rsidRPr="004E30A9">
        <w:rPr>
          <w:rFonts w:ascii="Times New Roman" w:eastAsia="Malgun Gothic" w:hAnsi="Times New Roman" w:cs="Times New Roman"/>
          <w:sz w:val="26"/>
          <w:szCs w:val="26"/>
          <w:lang w:eastAsia="ko-KR"/>
        </w:rPr>
        <w:t xml:space="preserve"> Signature vào năm 2023.</w:t>
      </w:r>
      <w:r w:rsidRPr="004E30A9">
        <w:rPr>
          <w:rFonts w:ascii="Times New Roman" w:hAnsi="Times New Roman" w:cs="Times New Roman"/>
          <w:sz w:val="26"/>
          <w:szCs w:val="26"/>
        </w:rPr>
        <w:t xml:space="preserve"> </w:t>
      </w:r>
    </w:p>
    <w:p w14:paraId="37A8B875" w14:textId="41825A4A" w:rsidR="00C23BCD" w:rsidRPr="004E30A9" w:rsidRDefault="00191A4F" w:rsidP="00A26ADD">
      <w:pPr>
        <w:spacing w:line="276" w:lineRule="auto"/>
        <w:ind w:firstLine="720"/>
        <w:jc w:val="both"/>
        <w:rPr>
          <w:rFonts w:ascii="Times New Roman" w:hAnsi="Times New Roman" w:cs="Times New Roman"/>
          <w:b/>
          <w:sz w:val="26"/>
          <w:szCs w:val="26"/>
        </w:rPr>
      </w:pPr>
      <w:r w:rsidRPr="004E30A9">
        <w:rPr>
          <w:rFonts w:ascii="Times New Roman" w:hAnsi="Times New Roman" w:cs="Times New Roman"/>
          <w:b/>
          <w:sz w:val="26"/>
          <w:szCs w:val="26"/>
        </w:rPr>
        <w:t xml:space="preserve">V. </w:t>
      </w:r>
      <w:r w:rsidR="00C23BCD" w:rsidRPr="004E30A9">
        <w:rPr>
          <w:rFonts w:ascii="Times New Roman" w:hAnsi="Times New Roman" w:cs="Times New Roman"/>
          <w:b/>
          <w:sz w:val="26"/>
          <w:szCs w:val="26"/>
        </w:rPr>
        <w:t>Biện pháp bảo đảm an toàn</w:t>
      </w:r>
    </w:p>
    <w:p w14:paraId="5EB93C37" w14:textId="77777777" w:rsidR="004B0185" w:rsidRPr="004E30A9" w:rsidRDefault="004B0185" w:rsidP="00A26ADD">
      <w:pPr>
        <w:spacing w:line="276" w:lineRule="auto"/>
        <w:ind w:firstLine="720"/>
        <w:jc w:val="both"/>
        <w:rPr>
          <w:rFonts w:ascii="Times New Roman" w:hAnsi="Times New Roman" w:cs="Times New Roman"/>
          <w:b/>
          <w:sz w:val="26"/>
          <w:szCs w:val="26"/>
        </w:rPr>
      </w:pPr>
      <w:r w:rsidRPr="004E30A9">
        <w:rPr>
          <w:rFonts w:ascii="Times New Roman" w:hAnsi="Times New Roman" w:cs="Times New Roman"/>
          <w:bCs/>
          <w:sz w:val="26"/>
          <w:szCs w:val="26"/>
        </w:rPr>
        <w:t xml:space="preserve">Do mục tiêu chính của BHTG là bảo hiểm các khoản tiền gửi được bảo hiểm (cho dù là trong trường hợp thực hiện chi trả hay tham gia tái cơ cấu TCTD) và nhìn chung, nguồn lực của BHTG thường không đủ để đáp ứng việc tài trợ nhằm giải quyết các hoàn cảnh mang tính nguy cơ hệ thống, BHTG được lập ra không phải để giải quyết tình huống phá sản của ngân hàng có tính quang trọng </w:t>
      </w:r>
      <w:r w:rsidR="00E2312F" w:rsidRPr="004E30A9">
        <w:rPr>
          <w:rFonts w:ascii="Times New Roman" w:hAnsi="Times New Roman" w:cs="Times New Roman"/>
          <w:bCs/>
          <w:sz w:val="26"/>
          <w:szCs w:val="26"/>
        </w:rPr>
        <w:t>đ</w:t>
      </w:r>
      <w:r w:rsidRPr="004E30A9">
        <w:rPr>
          <w:rFonts w:ascii="Times New Roman" w:hAnsi="Times New Roman" w:cs="Times New Roman"/>
          <w:bCs/>
          <w:sz w:val="26"/>
          <w:szCs w:val="26"/>
        </w:rPr>
        <w:t>ối với hệ thống hoặc để giải quyết một cuộc khủng hoảng ngân hàng nói chung. Những trường hợp này thường đòi hỏi nguồn lực lớn hơn đáng kể so với nguồn lực có sẵn trong BHTG. Do đó, để bảo vệ quỹ BHTG khỏi những nguy cơ, các biện pháp bảo đảm an toàn được áp dụng, bao gồm bài kiểm tra chi phí ròng thấp nhất và một hạn mức tín dụng dự phòng từ chính phủ.</w:t>
      </w:r>
      <w:r w:rsidR="00E2312F" w:rsidRPr="004E30A9">
        <w:rPr>
          <w:rFonts w:ascii="Times New Roman" w:hAnsi="Times New Roman" w:cs="Times New Roman"/>
          <w:bCs/>
          <w:sz w:val="26"/>
          <w:szCs w:val="26"/>
        </w:rPr>
        <w:t xml:space="preserve"> Việc áp dụng mức trần tài chính (financial cap) cũng là một biện pháp, ví dụ, không sử dụng quá 50% t</w:t>
      </w:r>
      <w:r w:rsidRPr="004E30A9">
        <w:rPr>
          <w:rFonts w:ascii="Times New Roman" w:hAnsi="Times New Roman" w:cs="Times New Roman"/>
          <w:bCs/>
          <w:sz w:val="26"/>
          <w:szCs w:val="26"/>
        </w:rPr>
        <w:t>ỷ lệ mục tiêu</w:t>
      </w:r>
      <w:r w:rsidR="00E2312F" w:rsidRPr="004E30A9">
        <w:rPr>
          <w:rFonts w:ascii="Times New Roman" w:hAnsi="Times New Roman" w:cs="Times New Roman"/>
          <w:bCs/>
          <w:sz w:val="26"/>
          <w:szCs w:val="26"/>
        </w:rPr>
        <w:t xml:space="preserve"> (target ratio) để giải quyết TCTD yếu kém</w:t>
      </w:r>
      <w:r w:rsidRPr="004E30A9">
        <w:rPr>
          <w:rFonts w:ascii="Times New Roman" w:hAnsi="Times New Roman" w:cs="Times New Roman"/>
          <w:bCs/>
          <w:sz w:val="26"/>
          <w:szCs w:val="26"/>
        </w:rPr>
        <w:t xml:space="preserve">. Các biện pháp bảo vệ này đảm bảo rằng sự phụ thuộc vào </w:t>
      </w:r>
      <w:r w:rsidR="00E2312F" w:rsidRPr="004E30A9">
        <w:rPr>
          <w:rFonts w:ascii="Times New Roman" w:hAnsi="Times New Roman" w:cs="Times New Roman"/>
          <w:bCs/>
          <w:sz w:val="26"/>
          <w:szCs w:val="26"/>
        </w:rPr>
        <w:t xml:space="preserve">quỹ BHTG là </w:t>
      </w:r>
      <w:r w:rsidRPr="004E30A9">
        <w:rPr>
          <w:rFonts w:ascii="Times New Roman" w:hAnsi="Times New Roman" w:cs="Times New Roman"/>
          <w:bCs/>
          <w:sz w:val="26"/>
          <w:szCs w:val="26"/>
        </w:rPr>
        <w:t xml:space="preserve">không quá mức, </w:t>
      </w:r>
      <w:r w:rsidR="00E2312F" w:rsidRPr="004E30A9">
        <w:rPr>
          <w:rFonts w:ascii="Times New Roman" w:hAnsi="Times New Roman" w:cs="Times New Roman"/>
          <w:bCs/>
          <w:sz w:val="26"/>
          <w:szCs w:val="26"/>
        </w:rPr>
        <w:t>dẫn đến</w:t>
      </w:r>
      <w:r w:rsidRPr="004E30A9">
        <w:rPr>
          <w:rFonts w:ascii="Times New Roman" w:hAnsi="Times New Roman" w:cs="Times New Roman"/>
          <w:bCs/>
          <w:sz w:val="26"/>
          <w:szCs w:val="26"/>
        </w:rPr>
        <w:t xml:space="preserve"> xói mòn niềm tin của người gửi tiền vào </w:t>
      </w:r>
      <w:r w:rsidR="00E2312F" w:rsidRPr="004E30A9">
        <w:rPr>
          <w:rFonts w:ascii="Times New Roman" w:hAnsi="Times New Roman" w:cs="Times New Roman"/>
          <w:bCs/>
          <w:sz w:val="26"/>
          <w:szCs w:val="26"/>
        </w:rPr>
        <w:t>BHTG.</w:t>
      </w:r>
    </w:p>
    <w:p w14:paraId="0347F069" w14:textId="77777777" w:rsidR="00EB278A" w:rsidRPr="004E30A9" w:rsidRDefault="00EB278A" w:rsidP="00A26ADD">
      <w:pPr>
        <w:spacing w:line="276" w:lineRule="auto"/>
        <w:ind w:firstLine="720"/>
        <w:jc w:val="both"/>
        <w:rPr>
          <w:rFonts w:ascii="Times New Roman" w:hAnsi="Times New Roman" w:cs="Times New Roman"/>
          <w:b/>
          <w:sz w:val="26"/>
          <w:szCs w:val="26"/>
        </w:rPr>
      </w:pPr>
      <w:r w:rsidRPr="004E30A9">
        <w:rPr>
          <w:rFonts w:ascii="Times New Roman" w:hAnsi="Times New Roman" w:cs="Times New Roman"/>
          <w:b/>
          <w:sz w:val="26"/>
          <w:szCs w:val="26"/>
        </w:rPr>
        <w:t xml:space="preserve">- </w:t>
      </w:r>
      <w:r w:rsidR="00E2312F" w:rsidRPr="004E30A9">
        <w:rPr>
          <w:rFonts w:ascii="Times New Roman" w:hAnsi="Times New Roman" w:cs="Times New Roman"/>
          <w:b/>
          <w:sz w:val="26"/>
          <w:szCs w:val="26"/>
        </w:rPr>
        <w:t>Mức trần</w:t>
      </w:r>
      <w:r w:rsidRPr="004E30A9">
        <w:rPr>
          <w:rFonts w:ascii="Times New Roman" w:hAnsi="Times New Roman" w:cs="Times New Roman"/>
          <w:b/>
          <w:sz w:val="26"/>
          <w:szCs w:val="26"/>
        </w:rPr>
        <w:t xml:space="preserve"> tài chính:</w:t>
      </w:r>
    </w:p>
    <w:p w14:paraId="79DEAB3B" w14:textId="72936196" w:rsidR="00EB278A" w:rsidRPr="004E30A9" w:rsidRDefault="00C23BCD" w:rsidP="00A26ADD">
      <w:pPr>
        <w:spacing w:line="276" w:lineRule="auto"/>
        <w:ind w:firstLine="720"/>
        <w:jc w:val="both"/>
        <w:rPr>
          <w:rFonts w:ascii="Times New Roman" w:hAnsi="Times New Roman" w:cs="Times New Roman"/>
          <w:sz w:val="26"/>
          <w:szCs w:val="26"/>
        </w:rPr>
      </w:pPr>
      <w:r w:rsidRPr="004E30A9">
        <w:rPr>
          <w:rFonts w:ascii="Times New Roman" w:hAnsi="Times New Roman" w:cs="Times New Roman"/>
          <w:sz w:val="26"/>
          <w:szCs w:val="26"/>
        </w:rPr>
        <w:t xml:space="preserve">Để bảo vệ nguồn lực BHTG khỏi tình trạng cạn kiệt quá mức, hầu hết các </w:t>
      </w:r>
      <w:r w:rsidR="00EB278A" w:rsidRPr="004E30A9">
        <w:rPr>
          <w:rFonts w:ascii="Times New Roman" w:hAnsi="Times New Roman" w:cs="Times New Roman"/>
          <w:sz w:val="26"/>
          <w:szCs w:val="26"/>
        </w:rPr>
        <w:t>quốc gia</w:t>
      </w:r>
      <w:r w:rsidRPr="004E30A9">
        <w:rPr>
          <w:rFonts w:ascii="Times New Roman" w:hAnsi="Times New Roman" w:cs="Times New Roman"/>
          <w:sz w:val="26"/>
          <w:szCs w:val="26"/>
        </w:rPr>
        <w:t xml:space="preserve"> đều áp dụng một số hình thức giới hạn đối với số tiền có thể được sử dụng cho các mục đích khác ngoài mục đích chi trả. Điều này phù hợp với Nguyên tắc cốt lõi 9 của IADI, trong đó nêu rõ rằng khi khuôn khổ pháp lý cho phép </w:t>
      </w:r>
      <w:r w:rsidR="00EB278A" w:rsidRPr="004E30A9">
        <w:rPr>
          <w:rFonts w:ascii="Times New Roman" w:hAnsi="Times New Roman" w:cs="Times New Roman"/>
          <w:sz w:val="26"/>
          <w:szCs w:val="26"/>
        </w:rPr>
        <w:t>BHTG</w:t>
      </w:r>
      <w:r w:rsidRPr="004E30A9">
        <w:rPr>
          <w:rFonts w:ascii="Times New Roman" w:hAnsi="Times New Roman" w:cs="Times New Roman"/>
          <w:sz w:val="26"/>
          <w:szCs w:val="26"/>
        </w:rPr>
        <w:t xml:space="preserve"> sử dụng tiền của mình cho các mục đích khác ngoài mục đích </w:t>
      </w:r>
      <w:r w:rsidR="00EB278A" w:rsidRPr="004E30A9">
        <w:rPr>
          <w:rFonts w:ascii="Times New Roman" w:hAnsi="Times New Roman" w:cs="Times New Roman"/>
          <w:sz w:val="26"/>
          <w:szCs w:val="26"/>
        </w:rPr>
        <w:t>chi trả</w:t>
      </w:r>
      <w:r w:rsidRPr="004E30A9">
        <w:rPr>
          <w:rFonts w:ascii="Times New Roman" w:hAnsi="Times New Roman" w:cs="Times New Roman"/>
          <w:sz w:val="26"/>
          <w:szCs w:val="26"/>
        </w:rPr>
        <w:t xml:space="preserve"> thì chi phí của các biện pháp đó đối với </w:t>
      </w:r>
      <w:r w:rsidR="00EB278A" w:rsidRPr="004E30A9">
        <w:rPr>
          <w:rFonts w:ascii="Times New Roman" w:hAnsi="Times New Roman" w:cs="Times New Roman"/>
          <w:sz w:val="26"/>
          <w:szCs w:val="26"/>
        </w:rPr>
        <w:t>BHTG</w:t>
      </w:r>
      <w:r w:rsidRPr="004E30A9">
        <w:rPr>
          <w:rFonts w:ascii="Times New Roman" w:hAnsi="Times New Roman" w:cs="Times New Roman"/>
          <w:sz w:val="26"/>
          <w:szCs w:val="26"/>
        </w:rPr>
        <w:t xml:space="preserve"> không cao hơn chi phí </w:t>
      </w:r>
      <w:r w:rsidR="00A137E0" w:rsidRPr="004E30A9">
        <w:rPr>
          <w:rFonts w:ascii="Times New Roman" w:hAnsi="Times New Roman" w:cs="Times New Roman"/>
          <w:sz w:val="26"/>
          <w:szCs w:val="26"/>
        </w:rPr>
        <w:t xml:space="preserve">đáng ra phải </w:t>
      </w:r>
      <w:r w:rsidRPr="004E30A9">
        <w:rPr>
          <w:rFonts w:ascii="Times New Roman" w:hAnsi="Times New Roman" w:cs="Times New Roman"/>
          <w:sz w:val="26"/>
          <w:szCs w:val="26"/>
        </w:rPr>
        <w:t xml:space="preserve">chi trả cho người gửi tiền </w:t>
      </w:r>
      <w:r w:rsidR="00A137E0" w:rsidRPr="004E30A9">
        <w:rPr>
          <w:rFonts w:ascii="Times New Roman" w:hAnsi="Times New Roman" w:cs="Times New Roman"/>
          <w:sz w:val="26"/>
          <w:szCs w:val="26"/>
        </w:rPr>
        <w:t>nếu lựa chọn phương án</w:t>
      </w:r>
      <w:r w:rsidRPr="004E30A9">
        <w:rPr>
          <w:rFonts w:ascii="Times New Roman" w:hAnsi="Times New Roman" w:cs="Times New Roman"/>
          <w:sz w:val="26"/>
          <w:szCs w:val="26"/>
        </w:rPr>
        <w:t xml:space="preserve"> </w:t>
      </w:r>
      <w:r w:rsidR="00EB278A" w:rsidRPr="004E30A9">
        <w:rPr>
          <w:rFonts w:ascii="Times New Roman" w:hAnsi="Times New Roman" w:cs="Times New Roman"/>
          <w:sz w:val="26"/>
          <w:szCs w:val="26"/>
        </w:rPr>
        <w:t>chi trả</w:t>
      </w:r>
      <w:r w:rsidR="00A137E0" w:rsidRPr="004E30A9">
        <w:rPr>
          <w:rFonts w:ascii="Times New Roman" w:hAnsi="Times New Roman" w:cs="Times New Roman"/>
          <w:sz w:val="26"/>
          <w:szCs w:val="26"/>
        </w:rPr>
        <w:t xml:space="preserve"> tiền BHTG</w:t>
      </w:r>
      <w:r w:rsidRPr="004E30A9">
        <w:rPr>
          <w:rFonts w:ascii="Times New Roman" w:hAnsi="Times New Roman" w:cs="Times New Roman"/>
          <w:sz w:val="26"/>
          <w:szCs w:val="26"/>
        </w:rPr>
        <w:t xml:space="preserve">, sau khi trừ đi các khoản thu hồi dự kiến. </w:t>
      </w:r>
    </w:p>
    <w:p w14:paraId="6E5BF463" w14:textId="0E0048A4" w:rsidR="00C23BCD" w:rsidRPr="004E30A9" w:rsidRDefault="00C23BCD" w:rsidP="00A26ADD">
      <w:pPr>
        <w:spacing w:line="276" w:lineRule="auto"/>
        <w:ind w:firstLine="720"/>
        <w:jc w:val="both"/>
        <w:rPr>
          <w:rFonts w:ascii="Times New Roman" w:hAnsi="Times New Roman" w:cs="Times New Roman"/>
          <w:sz w:val="26"/>
          <w:szCs w:val="26"/>
        </w:rPr>
      </w:pPr>
      <w:r w:rsidRPr="004E30A9">
        <w:rPr>
          <w:rFonts w:ascii="Times New Roman" w:hAnsi="Times New Roman" w:cs="Times New Roman"/>
          <w:sz w:val="26"/>
          <w:szCs w:val="26"/>
        </w:rPr>
        <w:t>Ở một số khu vực pháp lý, biện pháp</w:t>
      </w:r>
      <w:r w:rsidR="00EB278A" w:rsidRPr="004E30A9">
        <w:rPr>
          <w:rFonts w:ascii="Times New Roman" w:hAnsi="Times New Roman" w:cs="Times New Roman"/>
          <w:sz w:val="26"/>
          <w:szCs w:val="26"/>
        </w:rPr>
        <w:t xml:space="preserve"> bảo đảm an toàn</w:t>
      </w:r>
      <w:r w:rsidRPr="004E30A9">
        <w:rPr>
          <w:rFonts w:ascii="Times New Roman" w:hAnsi="Times New Roman" w:cs="Times New Roman"/>
          <w:sz w:val="26"/>
          <w:szCs w:val="26"/>
        </w:rPr>
        <w:t xml:space="preserve"> này có hình thức là bài kiểm tra chi phí thấp nhấ</w:t>
      </w:r>
      <w:r w:rsidR="00EB278A" w:rsidRPr="004E30A9">
        <w:rPr>
          <w:rFonts w:ascii="Times New Roman" w:hAnsi="Times New Roman" w:cs="Times New Roman"/>
          <w:sz w:val="26"/>
          <w:szCs w:val="26"/>
        </w:rPr>
        <w:t xml:space="preserve">t, </w:t>
      </w:r>
      <w:r w:rsidRPr="004E30A9">
        <w:rPr>
          <w:rFonts w:ascii="Times New Roman" w:hAnsi="Times New Roman" w:cs="Times New Roman"/>
          <w:sz w:val="26"/>
          <w:szCs w:val="26"/>
        </w:rPr>
        <w:t xml:space="preserve">yêu cầu </w:t>
      </w:r>
      <w:r w:rsidR="00EB278A" w:rsidRPr="004E30A9">
        <w:rPr>
          <w:rFonts w:ascii="Times New Roman" w:hAnsi="Times New Roman" w:cs="Times New Roman"/>
          <w:sz w:val="26"/>
          <w:szCs w:val="26"/>
        </w:rPr>
        <w:t>BHTG</w:t>
      </w:r>
      <w:r w:rsidRPr="004E30A9">
        <w:rPr>
          <w:rFonts w:ascii="Times New Roman" w:hAnsi="Times New Roman" w:cs="Times New Roman"/>
          <w:sz w:val="26"/>
          <w:szCs w:val="26"/>
        </w:rPr>
        <w:t xml:space="preserve"> phải lựa chọn phương án có chi phí thấp nhất từ một loạt các biện pháp khả thi </w:t>
      </w:r>
      <w:r w:rsidR="007700C4" w:rsidRPr="004E30A9">
        <w:rPr>
          <w:rFonts w:ascii="Times New Roman" w:hAnsi="Times New Roman" w:cs="Times New Roman"/>
          <w:sz w:val="26"/>
          <w:szCs w:val="26"/>
        </w:rPr>
        <w:t>(so sánh giữa tiến hành</w:t>
      </w:r>
      <w:r w:rsidRPr="004E30A9">
        <w:rPr>
          <w:rFonts w:ascii="Times New Roman" w:hAnsi="Times New Roman" w:cs="Times New Roman"/>
          <w:sz w:val="26"/>
          <w:szCs w:val="26"/>
        </w:rPr>
        <w:t xml:space="preserve"> thanh lý</w:t>
      </w:r>
      <w:r w:rsidR="007700C4" w:rsidRPr="004E30A9">
        <w:rPr>
          <w:rFonts w:ascii="Times New Roman" w:hAnsi="Times New Roman" w:cs="Times New Roman"/>
          <w:sz w:val="26"/>
          <w:szCs w:val="26"/>
        </w:rPr>
        <w:t xml:space="preserve"> TCTD</w:t>
      </w:r>
      <w:r w:rsidRPr="004E30A9">
        <w:rPr>
          <w:rFonts w:ascii="Times New Roman" w:hAnsi="Times New Roman" w:cs="Times New Roman"/>
          <w:sz w:val="26"/>
          <w:szCs w:val="26"/>
        </w:rPr>
        <w:t xml:space="preserve"> và chi trả</w:t>
      </w:r>
      <w:r w:rsidR="007700C4" w:rsidRPr="004E30A9">
        <w:rPr>
          <w:rFonts w:ascii="Times New Roman" w:hAnsi="Times New Roman" w:cs="Times New Roman"/>
          <w:sz w:val="26"/>
          <w:szCs w:val="26"/>
        </w:rPr>
        <w:t xml:space="preserve"> tiền BHTG)</w:t>
      </w:r>
      <w:r w:rsidRPr="004E30A9">
        <w:rPr>
          <w:rFonts w:ascii="Times New Roman" w:hAnsi="Times New Roman" w:cs="Times New Roman"/>
          <w:sz w:val="26"/>
          <w:szCs w:val="26"/>
        </w:rPr>
        <w:t xml:space="preserve">. </w:t>
      </w:r>
      <w:r w:rsidR="00EB278A" w:rsidRPr="004E30A9">
        <w:rPr>
          <w:rFonts w:ascii="Times New Roman" w:hAnsi="Times New Roman" w:cs="Times New Roman"/>
          <w:sz w:val="26"/>
          <w:szCs w:val="26"/>
        </w:rPr>
        <w:t xml:space="preserve">Một số quốc gia đặt ra giới hạn tài chính trong việc hỗ trợ thanh khoản của TCTD (chia làm 2 loại: một số quốc gia có thể có trường hợp vượt giới han, một số quốc gia không cho phép vượt giới hạn), một số quốc gia lập quỹ riêng để thực hiện tái cơ cấu. </w:t>
      </w:r>
    </w:p>
    <w:p w14:paraId="33E4461C" w14:textId="58C76A14" w:rsidR="00B94F10" w:rsidRPr="004E30A9" w:rsidRDefault="002D6A4B" w:rsidP="00A26ADD">
      <w:pPr>
        <w:spacing w:line="276" w:lineRule="auto"/>
        <w:ind w:firstLine="720"/>
        <w:jc w:val="both"/>
        <w:rPr>
          <w:rFonts w:ascii="Times New Roman" w:hAnsi="Times New Roman" w:cs="Times New Roman"/>
          <w:sz w:val="26"/>
          <w:szCs w:val="26"/>
        </w:rPr>
      </w:pPr>
      <w:r w:rsidRPr="004E30A9">
        <w:rPr>
          <w:rFonts w:ascii="Times New Roman" w:hAnsi="Times New Roman" w:cs="Times New Roman"/>
          <w:sz w:val="26"/>
          <w:szCs w:val="26"/>
        </w:rPr>
        <w:t xml:space="preserve">Cách thức áp dụng mức trần tài chính khác nhau tùy theo khu vực pháp lý. Ví dụ, bài kiểm tra chi phí thấp nhất trong khuôn khổ của Hoa Kỳ yêu cầu FDIC so sánh chi phí đấu thầu nhận được từ những bên mua tiềm năng với chi phí mà FDIC sẽ phải chịu thông qua việc thanh lý ngân hàng đang phá sản với tư cách là bên tiếp nhận và trả cho những người gửi tiền được bảo hiểm lên đến số tiền được bảo hiểm hiện tại, trừ đi số tiền thu hồi dự kiến với tư cách là bên thế chấp cho các yêu cầu bồi thường của những người gửi tiền đó. FDIC </w:t>
      </w:r>
      <w:r w:rsidRPr="004E30A9">
        <w:rPr>
          <w:rFonts w:ascii="Times New Roman" w:hAnsi="Times New Roman" w:cs="Times New Roman"/>
          <w:sz w:val="26"/>
          <w:szCs w:val="26"/>
        </w:rPr>
        <w:lastRenderedPageBreak/>
        <w:t>phải theo đuổi phương án có chi phí thấp nhất. Ngược lại, theo khuôn khổ của EU về bảo hiểm tiền gửi, biện pháp bảo vệ có hình thức là mức trần tài chính, do đó, miễn là chi phí cho DIS để tài trợ cho các biện pháp thay thế không vượt quá chi phí thanh toán các khoản tiền gửi được bảo hiểm trong quá trình thanh lý, thì khoản đóng góp không bị giới hạn ở phương án có chi phí thấp nhất. Về nguyên tắc, điều này mang lại một số sự linh hoạt để tính đến các yếu tố rộng hơn, chẳng hạn như tác động của các phương án khác nhau đối với tính khả dụng của các dịch vụ ngân hàng trong một khu vực hoặc sự gián đoạn đối với khách hàng. Một khái niệm tương tự áp dụng cho Singapore DIS (SDIC), sử dụng khái niệm “chi phí tương đương”. Khái niệm này giới hạn số tiền mà quỹ DI có thể đóng góp cho các biện pháp giải quyết ở mức số tiền, trừ đi các khoản thu hồi, sẽ được chi trả nếu thành viên DIS bị thanh lý thay vì được giải quyết. Một sự khác biệt có liên quan giữa các khu vực pháp lý này là trong khi FDIC có nhiệm vụ kép và lựa chọn phương pháp giải quyết hoặc phá sản với tư cách là người tiếp nhận, thì các chức năng bảo hiểm tiền gửi và giải quyết hoặc phá sản lại tách biệt về mặt thể chế ở các khu vực pháp lý khác.3 Hộp 1 cung cấp thêm một số thông tin chi tiết về thông lệ quốc gia.</w:t>
      </w:r>
    </w:p>
    <w:p w14:paraId="58BB77C5" w14:textId="77777777" w:rsidR="00EB278A" w:rsidRPr="004E30A9" w:rsidRDefault="00EB278A" w:rsidP="00A26ADD">
      <w:pPr>
        <w:spacing w:line="276" w:lineRule="auto"/>
        <w:ind w:firstLine="720"/>
        <w:jc w:val="both"/>
        <w:rPr>
          <w:rFonts w:ascii="Times New Roman" w:hAnsi="Times New Roman" w:cs="Times New Roman"/>
          <w:b/>
          <w:sz w:val="26"/>
          <w:szCs w:val="26"/>
        </w:rPr>
      </w:pPr>
      <w:r w:rsidRPr="004E30A9">
        <w:rPr>
          <w:rFonts w:ascii="Times New Roman" w:hAnsi="Times New Roman" w:cs="Times New Roman"/>
          <w:b/>
          <w:sz w:val="26"/>
          <w:szCs w:val="26"/>
        </w:rPr>
        <w:t>- Kiểm soát việc đưa ra quyết định</w:t>
      </w:r>
    </w:p>
    <w:p w14:paraId="154BA2FC" w14:textId="75928418" w:rsidR="003D6725" w:rsidRPr="004E30A9" w:rsidRDefault="00D74644" w:rsidP="00432E90">
      <w:pPr>
        <w:spacing w:line="276" w:lineRule="auto"/>
        <w:ind w:firstLine="720"/>
        <w:jc w:val="both"/>
        <w:rPr>
          <w:rFonts w:ascii="Times New Roman" w:hAnsi="Times New Roman" w:cs="Times New Roman"/>
          <w:sz w:val="26"/>
          <w:szCs w:val="26"/>
        </w:rPr>
      </w:pPr>
      <w:r w:rsidRPr="004E30A9">
        <w:rPr>
          <w:rFonts w:ascii="Times New Roman" w:hAnsi="Times New Roman" w:cs="Times New Roman"/>
          <w:sz w:val="26"/>
          <w:szCs w:val="26"/>
        </w:rPr>
        <w:t>Sự tham gia của BHTG trong việc đưa ra quyết định được ghi nhân trong nguyên tắc cốt lõi số 9 (tiêu chí 8): “Tổ chức BHTG được thông báo và tham gia vào quá trình ra quyết định tái cơ cấu TCTD”. Tuy nhiên phạm vi kiểm soát của tổ chức BHTG là khác nhau và được chia làm 3 nhóm.</w:t>
      </w:r>
    </w:p>
    <w:tbl>
      <w:tblPr>
        <w:tblW w:w="95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5"/>
        <w:gridCol w:w="1585"/>
        <w:gridCol w:w="1586"/>
        <w:gridCol w:w="1585"/>
        <w:gridCol w:w="1585"/>
        <w:gridCol w:w="1591"/>
      </w:tblGrid>
      <w:tr w:rsidR="004D2F23" w:rsidRPr="00EB6ED7" w14:paraId="5EE5C577" w14:textId="77777777" w:rsidTr="00D74644">
        <w:trPr>
          <w:trHeight w:val="188"/>
        </w:trPr>
        <w:tc>
          <w:tcPr>
            <w:tcW w:w="9517" w:type="dxa"/>
            <w:gridSpan w:val="6"/>
          </w:tcPr>
          <w:p w14:paraId="1F3C145C" w14:textId="4D661504" w:rsidR="00D74644" w:rsidRPr="004E30A9" w:rsidRDefault="00D74644" w:rsidP="00D74644">
            <w:pPr>
              <w:autoSpaceDE w:val="0"/>
              <w:autoSpaceDN w:val="0"/>
              <w:adjustRightInd w:val="0"/>
              <w:spacing w:after="0" w:line="240" w:lineRule="auto"/>
              <w:rPr>
                <w:rFonts w:ascii="Times New Roman" w:hAnsi="Times New Roman" w:cs="Times New Roman"/>
                <w:b/>
                <w:sz w:val="26"/>
                <w:szCs w:val="26"/>
              </w:rPr>
            </w:pPr>
            <w:r w:rsidRPr="004E30A9">
              <w:rPr>
                <w:rFonts w:ascii="Times New Roman" w:hAnsi="Times New Roman" w:cs="Times New Roman"/>
                <w:b/>
                <w:sz w:val="26"/>
                <w:szCs w:val="26"/>
              </w:rPr>
              <w:t xml:space="preserve">BHTG kiểm soát việc đưa ra quyết định và quyền phủ quyết của BHTG </w:t>
            </w:r>
          </w:p>
        </w:tc>
      </w:tr>
      <w:tr w:rsidR="004D2F23" w:rsidRPr="00EB6ED7" w14:paraId="350C2E95" w14:textId="77777777" w:rsidTr="00D74644">
        <w:trPr>
          <w:trHeight w:val="258"/>
        </w:trPr>
        <w:tc>
          <w:tcPr>
            <w:tcW w:w="1585" w:type="dxa"/>
          </w:tcPr>
          <w:p w14:paraId="2FD56157" w14:textId="7C6E2184"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 xml:space="preserve">Nước (tổ chức BHTG) </w:t>
            </w:r>
          </w:p>
        </w:tc>
        <w:tc>
          <w:tcPr>
            <w:tcW w:w="1585" w:type="dxa"/>
          </w:tcPr>
          <w:p w14:paraId="28040ACB" w14:textId="68233AEB"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 xml:space="preserve">Cơ quan quyết định: BHTG và/hoặc Cơ quan có thẩm quyền khác </w:t>
            </w:r>
          </w:p>
        </w:tc>
        <w:tc>
          <w:tcPr>
            <w:tcW w:w="1586" w:type="dxa"/>
          </w:tcPr>
          <w:p w14:paraId="3E1ECC76" w14:textId="7CC06801"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 xml:space="preserve">Quyết định chung: bảo hiểm tiền gửi được quyền phủ quyết </w:t>
            </w:r>
          </w:p>
        </w:tc>
        <w:tc>
          <w:tcPr>
            <w:tcW w:w="1585" w:type="dxa"/>
          </w:tcPr>
          <w:p w14:paraId="3E96A5FB" w14:textId="55F1B602"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 xml:space="preserve">Cơ quan có thẩm quyền khác phải tham vấn BHTG </w:t>
            </w:r>
          </w:p>
        </w:tc>
        <w:tc>
          <w:tcPr>
            <w:tcW w:w="1585" w:type="dxa"/>
          </w:tcPr>
          <w:p w14:paraId="346A633A" w14:textId="788F97A1"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Cơ quan khác quyết định nhưng BHTG có quyền phủ quyết</w:t>
            </w:r>
          </w:p>
        </w:tc>
        <w:tc>
          <w:tcPr>
            <w:tcW w:w="1591" w:type="dxa"/>
          </w:tcPr>
          <w:p w14:paraId="706D8820" w14:textId="0E0EC331"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 xml:space="preserve">Bảo hiểm tiền gửi là cơ quan có thẩm quyền thực hiện tái cơ cấu </w:t>
            </w:r>
          </w:p>
        </w:tc>
      </w:tr>
      <w:tr w:rsidR="004D2F23" w:rsidRPr="00EB6ED7" w14:paraId="4ABA5155" w14:textId="77777777" w:rsidTr="00D74644">
        <w:trPr>
          <w:trHeight w:val="145"/>
        </w:trPr>
        <w:tc>
          <w:tcPr>
            <w:tcW w:w="1585" w:type="dxa"/>
          </w:tcPr>
          <w:p w14:paraId="2F63E6D1" w14:textId="77777777"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 xml:space="preserve">Australia (FCS) </w:t>
            </w:r>
          </w:p>
        </w:tc>
        <w:tc>
          <w:tcPr>
            <w:tcW w:w="1585" w:type="dxa"/>
          </w:tcPr>
          <w:p w14:paraId="269AADDA" w14:textId="7584A098"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Cơ quan có thẩm quyền khác</w:t>
            </w:r>
          </w:p>
        </w:tc>
        <w:tc>
          <w:tcPr>
            <w:tcW w:w="1586" w:type="dxa"/>
          </w:tcPr>
          <w:p w14:paraId="170C5A71"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85" w:type="dxa"/>
          </w:tcPr>
          <w:p w14:paraId="4FF65726" w14:textId="77777777" w:rsidR="00D74644" w:rsidRPr="004E30A9" w:rsidRDefault="00D74644" w:rsidP="00D7464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585" w:type="dxa"/>
          </w:tcPr>
          <w:p w14:paraId="387A2C30" w14:textId="77777777" w:rsidR="00D74644" w:rsidRPr="004E30A9" w:rsidRDefault="00D74644" w:rsidP="00D7464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591" w:type="dxa"/>
          </w:tcPr>
          <w:p w14:paraId="41FE100B" w14:textId="77777777" w:rsidR="00D74644" w:rsidRPr="004E30A9" w:rsidRDefault="00D74644" w:rsidP="00D7464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765BB04F" w14:textId="77777777" w:rsidTr="00D74644">
        <w:trPr>
          <w:trHeight w:val="158"/>
        </w:trPr>
        <w:tc>
          <w:tcPr>
            <w:tcW w:w="1585" w:type="dxa"/>
          </w:tcPr>
          <w:p w14:paraId="68CF13D3" w14:textId="77777777"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 xml:space="preserve">Honduras (FOSEDE) </w:t>
            </w:r>
          </w:p>
        </w:tc>
        <w:tc>
          <w:tcPr>
            <w:tcW w:w="1585" w:type="dxa"/>
          </w:tcPr>
          <w:p w14:paraId="6B387FB5" w14:textId="52951243"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Cơ quan có thẩm quyền khác</w:t>
            </w:r>
          </w:p>
        </w:tc>
        <w:tc>
          <w:tcPr>
            <w:tcW w:w="1586" w:type="dxa"/>
          </w:tcPr>
          <w:p w14:paraId="71883ED5"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85" w:type="dxa"/>
          </w:tcPr>
          <w:p w14:paraId="12DF69CB" w14:textId="77777777" w:rsidR="00D74644" w:rsidRPr="004E30A9" w:rsidRDefault="00D74644" w:rsidP="00D7464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585" w:type="dxa"/>
          </w:tcPr>
          <w:p w14:paraId="1FEA4054" w14:textId="77777777" w:rsidR="00D74644" w:rsidRPr="004E30A9" w:rsidRDefault="00D74644" w:rsidP="00D7464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591" w:type="dxa"/>
          </w:tcPr>
          <w:p w14:paraId="78B2971A" w14:textId="77777777" w:rsidR="00D74644" w:rsidRPr="004E30A9" w:rsidRDefault="00D74644" w:rsidP="00D7464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3FCD1A77" w14:textId="77777777" w:rsidTr="00D74644">
        <w:trPr>
          <w:trHeight w:val="158"/>
        </w:trPr>
        <w:tc>
          <w:tcPr>
            <w:tcW w:w="1585" w:type="dxa"/>
          </w:tcPr>
          <w:p w14:paraId="4D161CAF" w14:textId="296F1652"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Serbia (AOD)</w:t>
            </w:r>
          </w:p>
        </w:tc>
        <w:tc>
          <w:tcPr>
            <w:tcW w:w="1585" w:type="dxa"/>
          </w:tcPr>
          <w:p w14:paraId="64573E96" w14:textId="2B63AE74"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Cơ quan có thẩm quyền khác</w:t>
            </w:r>
          </w:p>
        </w:tc>
        <w:tc>
          <w:tcPr>
            <w:tcW w:w="1586" w:type="dxa"/>
          </w:tcPr>
          <w:p w14:paraId="0208F89B" w14:textId="68DBBCE6"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w:t>
            </w:r>
          </w:p>
        </w:tc>
        <w:tc>
          <w:tcPr>
            <w:tcW w:w="1585" w:type="dxa"/>
          </w:tcPr>
          <w:p w14:paraId="2D360C4E" w14:textId="3F43EDDD" w:rsidR="00D74644" w:rsidRPr="004E30A9" w:rsidRDefault="00D74644" w:rsidP="00D74644">
            <w:pPr>
              <w:autoSpaceDE w:val="0"/>
              <w:autoSpaceDN w:val="0"/>
              <w:adjustRightInd w:val="0"/>
              <w:spacing w:after="0" w:line="240" w:lineRule="auto"/>
              <w:rPr>
                <w:rFonts w:ascii="Wingdings" w:hAnsi="Wingdings" w:cs="Wingdings"/>
                <w:sz w:val="26"/>
                <w:szCs w:val="26"/>
              </w:rPr>
            </w:pPr>
            <w:r w:rsidRPr="004E30A9">
              <w:rPr>
                <w:rFonts w:ascii="Segoe UI" w:hAnsi="Segoe UI" w:cs="Segoe UI"/>
                <w:sz w:val="26"/>
                <w:szCs w:val="26"/>
              </w:rPr>
              <w:t xml:space="preserve"> </w:t>
            </w:r>
            <w:r w:rsidRPr="004E30A9">
              <w:rPr>
                <w:rFonts w:ascii="Wingdings" w:hAnsi="Wingdings" w:cs="Wingdings"/>
                <w:sz w:val="26"/>
                <w:szCs w:val="26"/>
              </w:rPr>
              <w:t></w:t>
            </w:r>
          </w:p>
        </w:tc>
        <w:tc>
          <w:tcPr>
            <w:tcW w:w="1585" w:type="dxa"/>
          </w:tcPr>
          <w:p w14:paraId="0D82D672" w14:textId="7E22299A" w:rsidR="00D74644" w:rsidRPr="004E30A9" w:rsidRDefault="00D74644" w:rsidP="00D7464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p>
        </w:tc>
        <w:tc>
          <w:tcPr>
            <w:tcW w:w="1591" w:type="dxa"/>
          </w:tcPr>
          <w:p w14:paraId="6F69902E" w14:textId="38EE2D4B" w:rsidR="00D74644" w:rsidRPr="004E30A9" w:rsidRDefault="00D74644" w:rsidP="00D7464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1D176362" w14:textId="77777777" w:rsidTr="00D74644">
        <w:trPr>
          <w:trHeight w:val="157"/>
        </w:trPr>
        <w:tc>
          <w:tcPr>
            <w:tcW w:w="1585" w:type="dxa"/>
          </w:tcPr>
          <w:p w14:paraId="0DC90939" w14:textId="77777777"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 xml:space="preserve">Singapore (SDIC) </w:t>
            </w:r>
          </w:p>
        </w:tc>
        <w:tc>
          <w:tcPr>
            <w:tcW w:w="1585" w:type="dxa"/>
          </w:tcPr>
          <w:p w14:paraId="74737698" w14:textId="6AFA4F41"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Cơ quan có thẩm quyền khác</w:t>
            </w:r>
          </w:p>
        </w:tc>
        <w:tc>
          <w:tcPr>
            <w:tcW w:w="1586" w:type="dxa"/>
          </w:tcPr>
          <w:p w14:paraId="0C99897A"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85" w:type="dxa"/>
          </w:tcPr>
          <w:p w14:paraId="793BC24B" w14:textId="77777777" w:rsidR="00D74644" w:rsidRPr="004E30A9" w:rsidRDefault="00D74644" w:rsidP="00D7464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585" w:type="dxa"/>
          </w:tcPr>
          <w:p w14:paraId="0499A133" w14:textId="77777777" w:rsidR="00D74644" w:rsidRPr="004E30A9" w:rsidRDefault="00D74644" w:rsidP="00D7464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591" w:type="dxa"/>
          </w:tcPr>
          <w:p w14:paraId="14C9CF03" w14:textId="77777777" w:rsidR="00D74644" w:rsidRPr="004E30A9" w:rsidRDefault="00D74644" w:rsidP="00D7464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325F7564" w14:textId="77777777" w:rsidTr="00D74644">
        <w:trPr>
          <w:trHeight w:val="145"/>
        </w:trPr>
        <w:tc>
          <w:tcPr>
            <w:tcW w:w="1585" w:type="dxa"/>
          </w:tcPr>
          <w:p w14:paraId="254C7068" w14:textId="77777777"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lastRenderedPageBreak/>
              <w:t xml:space="preserve">UK (FSCS) </w:t>
            </w:r>
          </w:p>
        </w:tc>
        <w:tc>
          <w:tcPr>
            <w:tcW w:w="1585" w:type="dxa"/>
          </w:tcPr>
          <w:p w14:paraId="00811C67" w14:textId="092D8F2B"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Cơ quan có thẩm quyền khác</w:t>
            </w:r>
          </w:p>
        </w:tc>
        <w:tc>
          <w:tcPr>
            <w:tcW w:w="1586" w:type="dxa"/>
          </w:tcPr>
          <w:p w14:paraId="742B4DFE"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85" w:type="dxa"/>
          </w:tcPr>
          <w:p w14:paraId="3C5BFA6B" w14:textId="77777777" w:rsidR="00D74644" w:rsidRPr="004E30A9" w:rsidRDefault="00D74644" w:rsidP="00D7464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585" w:type="dxa"/>
          </w:tcPr>
          <w:p w14:paraId="2FA2A487" w14:textId="77777777" w:rsidR="00D74644" w:rsidRPr="004E30A9" w:rsidRDefault="00D74644" w:rsidP="00D7464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591" w:type="dxa"/>
          </w:tcPr>
          <w:p w14:paraId="0D8E97BA" w14:textId="77777777" w:rsidR="00D74644" w:rsidRPr="004E30A9" w:rsidRDefault="00D74644" w:rsidP="00D7464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1CBA1ADB" w14:textId="77777777" w:rsidTr="00D74644">
        <w:trPr>
          <w:trHeight w:val="157"/>
        </w:trPr>
        <w:tc>
          <w:tcPr>
            <w:tcW w:w="1585" w:type="dxa"/>
          </w:tcPr>
          <w:p w14:paraId="1327475C" w14:textId="77777777"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 xml:space="preserve">Barbados (BDIC) </w:t>
            </w:r>
          </w:p>
        </w:tc>
        <w:tc>
          <w:tcPr>
            <w:tcW w:w="1585" w:type="dxa"/>
          </w:tcPr>
          <w:p w14:paraId="64E95994" w14:textId="01B8FDD7"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BHTG và Cơ quan có thẩm quyền khác</w:t>
            </w:r>
          </w:p>
        </w:tc>
        <w:tc>
          <w:tcPr>
            <w:tcW w:w="1586" w:type="dxa"/>
          </w:tcPr>
          <w:p w14:paraId="671E75B4" w14:textId="77777777" w:rsidR="00D74644" w:rsidRPr="004E30A9" w:rsidRDefault="00D74644" w:rsidP="00D7464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585" w:type="dxa"/>
          </w:tcPr>
          <w:p w14:paraId="16966CA9"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85" w:type="dxa"/>
          </w:tcPr>
          <w:p w14:paraId="23D342F2"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91" w:type="dxa"/>
          </w:tcPr>
          <w:p w14:paraId="7ABC168D" w14:textId="77777777" w:rsidR="00D74644" w:rsidRPr="004E30A9" w:rsidRDefault="00D74644" w:rsidP="00D7464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63D4B07F" w14:textId="77777777" w:rsidTr="00D74644">
        <w:trPr>
          <w:trHeight w:val="145"/>
        </w:trPr>
        <w:tc>
          <w:tcPr>
            <w:tcW w:w="1585" w:type="dxa"/>
          </w:tcPr>
          <w:p w14:paraId="2AA5124F" w14:textId="77777777"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 xml:space="preserve">Italy (FITD) </w:t>
            </w:r>
          </w:p>
        </w:tc>
        <w:tc>
          <w:tcPr>
            <w:tcW w:w="1585" w:type="dxa"/>
          </w:tcPr>
          <w:p w14:paraId="19BC36DF" w14:textId="77777777"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 xml:space="preserve">DIA &amp; AA </w:t>
            </w:r>
          </w:p>
        </w:tc>
        <w:tc>
          <w:tcPr>
            <w:tcW w:w="1586" w:type="dxa"/>
          </w:tcPr>
          <w:p w14:paraId="6491B824" w14:textId="77777777" w:rsidR="00D74644" w:rsidRPr="004E30A9" w:rsidRDefault="00D74644" w:rsidP="00D7464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585" w:type="dxa"/>
          </w:tcPr>
          <w:p w14:paraId="45522095"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85" w:type="dxa"/>
          </w:tcPr>
          <w:p w14:paraId="7AB8D65B"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91" w:type="dxa"/>
          </w:tcPr>
          <w:p w14:paraId="20046649" w14:textId="77777777" w:rsidR="00D74644" w:rsidRPr="004E30A9" w:rsidRDefault="00D74644" w:rsidP="00D7464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2D37CD62" w14:textId="77777777" w:rsidTr="00D74644">
        <w:trPr>
          <w:trHeight w:val="157"/>
        </w:trPr>
        <w:tc>
          <w:tcPr>
            <w:tcW w:w="1585" w:type="dxa"/>
          </w:tcPr>
          <w:p w14:paraId="7183D7E4" w14:textId="77777777"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 xml:space="preserve">Jamaica (JDIC) </w:t>
            </w:r>
          </w:p>
        </w:tc>
        <w:tc>
          <w:tcPr>
            <w:tcW w:w="1585" w:type="dxa"/>
          </w:tcPr>
          <w:p w14:paraId="69FE4B46" w14:textId="060F79E4"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BHTG và Cơ quan có thẩm quyền khác</w:t>
            </w:r>
          </w:p>
        </w:tc>
        <w:tc>
          <w:tcPr>
            <w:tcW w:w="1586" w:type="dxa"/>
          </w:tcPr>
          <w:p w14:paraId="5B9AA999" w14:textId="77777777" w:rsidR="00D74644" w:rsidRPr="004E30A9" w:rsidRDefault="00D74644" w:rsidP="00D7464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585" w:type="dxa"/>
          </w:tcPr>
          <w:p w14:paraId="5769455F"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85" w:type="dxa"/>
          </w:tcPr>
          <w:p w14:paraId="7C9731D6"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91" w:type="dxa"/>
          </w:tcPr>
          <w:p w14:paraId="4F5FE743" w14:textId="77777777" w:rsidR="00D74644" w:rsidRPr="004E30A9" w:rsidRDefault="00D74644" w:rsidP="00D7464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01348A81" w14:textId="77777777" w:rsidTr="00D74644">
        <w:trPr>
          <w:trHeight w:val="157"/>
        </w:trPr>
        <w:tc>
          <w:tcPr>
            <w:tcW w:w="1585" w:type="dxa"/>
          </w:tcPr>
          <w:p w14:paraId="641364D3" w14:textId="7A09E06A"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Mông Cổ</w:t>
            </w:r>
          </w:p>
        </w:tc>
        <w:tc>
          <w:tcPr>
            <w:tcW w:w="1585" w:type="dxa"/>
          </w:tcPr>
          <w:p w14:paraId="570FCBD1" w14:textId="63CADD4F"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BHTG và Cơ quan có thẩm quyền khác</w:t>
            </w:r>
          </w:p>
        </w:tc>
        <w:tc>
          <w:tcPr>
            <w:tcW w:w="1586" w:type="dxa"/>
          </w:tcPr>
          <w:p w14:paraId="140AF09D" w14:textId="5F272A92" w:rsidR="00D74644" w:rsidRPr="004E30A9" w:rsidRDefault="00D74644" w:rsidP="00D7464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585" w:type="dxa"/>
          </w:tcPr>
          <w:p w14:paraId="02BD68CB" w14:textId="7C991AD9"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85" w:type="dxa"/>
          </w:tcPr>
          <w:p w14:paraId="3769D83D" w14:textId="18A7E1AF"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91" w:type="dxa"/>
          </w:tcPr>
          <w:p w14:paraId="7299613E" w14:textId="7B89AAF2" w:rsidR="00D74644" w:rsidRPr="004E30A9" w:rsidRDefault="00D74644" w:rsidP="00D7464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153AA7E3" w14:textId="77777777" w:rsidTr="00D74644">
        <w:trPr>
          <w:trHeight w:val="157"/>
        </w:trPr>
        <w:tc>
          <w:tcPr>
            <w:tcW w:w="1585" w:type="dxa"/>
          </w:tcPr>
          <w:p w14:paraId="736E4DE0" w14:textId="77777777"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 xml:space="preserve">Russia (ASV) </w:t>
            </w:r>
          </w:p>
        </w:tc>
        <w:tc>
          <w:tcPr>
            <w:tcW w:w="1585" w:type="dxa"/>
          </w:tcPr>
          <w:p w14:paraId="69AE79DE" w14:textId="24921C4B"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BHTG và Cơ quan có thẩm quyền khác</w:t>
            </w:r>
          </w:p>
        </w:tc>
        <w:tc>
          <w:tcPr>
            <w:tcW w:w="1586" w:type="dxa"/>
          </w:tcPr>
          <w:p w14:paraId="65861E46" w14:textId="77777777" w:rsidR="00D74644" w:rsidRPr="004E30A9" w:rsidRDefault="00D74644" w:rsidP="00D7464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585" w:type="dxa"/>
          </w:tcPr>
          <w:p w14:paraId="65446175"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85" w:type="dxa"/>
          </w:tcPr>
          <w:p w14:paraId="0B5BB347"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91" w:type="dxa"/>
          </w:tcPr>
          <w:p w14:paraId="57F9623D" w14:textId="77777777" w:rsidR="00D74644" w:rsidRPr="004E30A9" w:rsidRDefault="00D74644" w:rsidP="00D7464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55A1D91A" w14:textId="77777777" w:rsidTr="00D74644">
        <w:trPr>
          <w:trHeight w:val="145"/>
        </w:trPr>
        <w:tc>
          <w:tcPr>
            <w:tcW w:w="1585" w:type="dxa"/>
          </w:tcPr>
          <w:p w14:paraId="06476E42" w14:textId="77777777"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 xml:space="preserve">Morocco (FCGB) </w:t>
            </w:r>
          </w:p>
        </w:tc>
        <w:tc>
          <w:tcPr>
            <w:tcW w:w="1585" w:type="dxa"/>
          </w:tcPr>
          <w:p w14:paraId="7D5D95B1" w14:textId="7A23B3C6"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BHTG và Cơ quan có thẩm quyền khác</w:t>
            </w:r>
          </w:p>
        </w:tc>
        <w:tc>
          <w:tcPr>
            <w:tcW w:w="1586" w:type="dxa"/>
          </w:tcPr>
          <w:p w14:paraId="0A449E97" w14:textId="77777777" w:rsidR="00D74644" w:rsidRPr="004E30A9" w:rsidRDefault="00D74644" w:rsidP="00D7464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585" w:type="dxa"/>
          </w:tcPr>
          <w:p w14:paraId="0584C0EE"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85" w:type="dxa"/>
          </w:tcPr>
          <w:p w14:paraId="50EA152B"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91" w:type="dxa"/>
          </w:tcPr>
          <w:p w14:paraId="3F3B00FE" w14:textId="77777777" w:rsidR="00D74644" w:rsidRPr="004E30A9" w:rsidRDefault="00D74644" w:rsidP="00D7464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7C10FF3D" w14:textId="77777777" w:rsidTr="00D74644">
        <w:trPr>
          <w:trHeight w:val="157"/>
        </w:trPr>
        <w:tc>
          <w:tcPr>
            <w:tcW w:w="1585" w:type="dxa"/>
          </w:tcPr>
          <w:p w14:paraId="3D12A991" w14:textId="77777777"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 xml:space="preserve">Norway (NBGF) </w:t>
            </w:r>
          </w:p>
        </w:tc>
        <w:tc>
          <w:tcPr>
            <w:tcW w:w="1585" w:type="dxa"/>
          </w:tcPr>
          <w:p w14:paraId="0FFFE177" w14:textId="19E4D828"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BHTG và Cơ quan có thẩm quyền khác</w:t>
            </w:r>
          </w:p>
        </w:tc>
        <w:tc>
          <w:tcPr>
            <w:tcW w:w="1586" w:type="dxa"/>
          </w:tcPr>
          <w:p w14:paraId="66795823" w14:textId="77777777" w:rsidR="00D74644" w:rsidRPr="004E30A9" w:rsidRDefault="00D74644" w:rsidP="00D7464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c>
          <w:tcPr>
            <w:tcW w:w="1585" w:type="dxa"/>
          </w:tcPr>
          <w:p w14:paraId="5837229C"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85" w:type="dxa"/>
          </w:tcPr>
          <w:p w14:paraId="5637AA17"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91" w:type="dxa"/>
          </w:tcPr>
          <w:p w14:paraId="30851204" w14:textId="77777777" w:rsidR="00D74644" w:rsidRPr="004E30A9" w:rsidRDefault="00D74644" w:rsidP="00D7464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142F49F8" w14:textId="77777777" w:rsidTr="00D74644">
        <w:trPr>
          <w:trHeight w:val="145"/>
        </w:trPr>
        <w:tc>
          <w:tcPr>
            <w:tcW w:w="1585" w:type="dxa"/>
          </w:tcPr>
          <w:p w14:paraId="331CB48E" w14:textId="77777777"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 xml:space="preserve">Bahamas (DIC-BS) </w:t>
            </w:r>
          </w:p>
        </w:tc>
        <w:tc>
          <w:tcPr>
            <w:tcW w:w="1585" w:type="dxa"/>
          </w:tcPr>
          <w:p w14:paraId="6F478CEA" w14:textId="074F8CFB"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BHTG</w:t>
            </w:r>
          </w:p>
        </w:tc>
        <w:tc>
          <w:tcPr>
            <w:tcW w:w="1586" w:type="dxa"/>
          </w:tcPr>
          <w:p w14:paraId="26F5EB57"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85" w:type="dxa"/>
          </w:tcPr>
          <w:p w14:paraId="435225AC"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85" w:type="dxa"/>
          </w:tcPr>
          <w:p w14:paraId="417C12BF"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91" w:type="dxa"/>
          </w:tcPr>
          <w:p w14:paraId="4FE80C5E" w14:textId="77777777" w:rsidR="00D74644" w:rsidRPr="004E30A9" w:rsidRDefault="00D74644" w:rsidP="00D7464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405EEDF9" w14:textId="77777777" w:rsidTr="00D74644">
        <w:trPr>
          <w:trHeight w:val="158"/>
        </w:trPr>
        <w:tc>
          <w:tcPr>
            <w:tcW w:w="1585" w:type="dxa"/>
          </w:tcPr>
          <w:p w14:paraId="75355E12" w14:textId="77777777"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 xml:space="preserve">Brazil (FGC) </w:t>
            </w:r>
          </w:p>
        </w:tc>
        <w:tc>
          <w:tcPr>
            <w:tcW w:w="1585" w:type="dxa"/>
          </w:tcPr>
          <w:p w14:paraId="1B66D479" w14:textId="5EED6EC6"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 xml:space="preserve">BHTG </w:t>
            </w:r>
          </w:p>
        </w:tc>
        <w:tc>
          <w:tcPr>
            <w:tcW w:w="1586" w:type="dxa"/>
          </w:tcPr>
          <w:p w14:paraId="52F1EA37"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85" w:type="dxa"/>
          </w:tcPr>
          <w:p w14:paraId="25B32C07"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85" w:type="dxa"/>
          </w:tcPr>
          <w:p w14:paraId="65ACDF88"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91" w:type="dxa"/>
          </w:tcPr>
          <w:p w14:paraId="34086030" w14:textId="77777777" w:rsidR="00D74644" w:rsidRPr="004E30A9" w:rsidRDefault="00D74644" w:rsidP="00D7464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6B4F29D0" w14:textId="77777777" w:rsidTr="00D74644">
        <w:trPr>
          <w:trHeight w:val="145"/>
        </w:trPr>
        <w:tc>
          <w:tcPr>
            <w:tcW w:w="1585" w:type="dxa"/>
          </w:tcPr>
          <w:p w14:paraId="14DC4FD0" w14:textId="77777777"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 xml:space="preserve">Canada (CDIC) </w:t>
            </w:r>
          </w:p>
        </w:tc>
        <w:tc>
          <w:tcPr>
            <w:tcW w:w="1585" w:type="dxa"/>
          </w:tcPr>
          <w:p w14:paraId="62EE96AF" w14:textId="3023ED69"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BHTG</w:t>
            </w:r>
          </w:p>
        </w:tc>
        <w:tc>
          <w:tcPr>
            <w:tcW w:w="1586" w:type="dxa"/>
          </w:tcPr>
          <w:p w14:paraId="76179349"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85" w:type="dxa"/>
          </w:tcPr>
          <w:p w14:paraId="017A3DF3"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85" w:type="dxa"/>
          </w:tcPr>
          <w:p w14:paraId="49A75271"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91" w:type="dxa"/>
          </w:tcPr>
          <w:p w14:paraId="3312979D" w14:textId="77777777" w:rsidR="00D74644" w:rsidRPr="004E30A9" w:rsidRDefault="00D74644" w:rsidP="00D7464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098EAF39" w14:textId="77777777" w:rsidTr="00D74644">
        <w:trPr>
          <w:trHeight w:val="158"/>
        </w:trPr>
        <w:tc>
          <w:tcPr>
            <w:tcW w:w="1585" w:type="dxa"/>
          </w:tcPr>
          <w:p w14:paraId="57041137" w14:textId="77777777"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 xml:space="preserve">Colombia (Fogafín) </w:t>
            </w:r>
          </w:p>
        </w:tc>
        <w:tc>
          <w:tcPr>
            <w:tcW w:w="1585" w:type="dxa"/>
          </w:tcPr>
          <w:p w14:paraId="5215402C" w14:textId="38FF4C4A"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 xml:space="preserve">BHTG </w:t>
            </w:r>
          </w:p>
        </w:tc>
        <w:tc>
          <w:tcPr>
            <w:tcW w:w="1586" w:type="dxa"/>
          </w:tcPr>
          <w:p w14:paraId="144BC5FB"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85" w:type="dxa"/>
          </w:tcPr>
          <w:p w14:paraId="39F6FA89"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85" w:type="dxa"/>
          </w:tcPr>
          <w:p w14:paraId="52F63721"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91" w:type="dxa"/>
          </w:tcPr>
          <w:p w14:paraId="4AADD344" w14:textId="77777777" w:rsidR="00D74644" w:rsidRPr="004E30A9" w:rsidRDefault="00D74644" w:rsidP="00D7464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49C01884" w14:textId="77777777" w:rsidTr="00D74644">
        <w:trPr>
          <w:trHeight w:val="145"/>
        </w:trPr>
        <w:tc>
          <w:tcPr>
            <w:tcW w:w="1585" w:type="dxa"/>
          </w:tcPr>
          <w:p w14:paraId="41E4D72D" w14:textId="77777777"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 xml:space="preserve">Ecuador (COSEDE) </w:t>
            </w:r>
          </w:p>
        </w:tc>
        <w:tc>
          <w:tcPr>
            <w:tcW w:w="1585" w:type="dxa"/>
          </w:tcPr>
          <w:p w14:paraId="031FBF67" w14:textId="709C0048"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BHTG</w:t>
            </w:r>
          </w:p>
        </w:tc>
        <w:tc>
          <w:tcPr>
            <w:tcW w:w="1586" w:type="dxa"/>
          </w:tcPr>
          <w:p w14:paraId="73FE9507"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85" w:type="dxa"/>
          </w:tcPr>
          <w:p w14:paraId="08A819BF"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85" w:type="dxa"/>
          </w:tcPr>
          <w:p w14:paraId="33F063AB"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91" w:type="dxa"/>
          </w:tcPr>
          <w:p w14:paraId="282C6233" w14:textId="77777777" w:rsidR="00D74644" w:rsidRPr="004E30A9" w:rsidRDefault="00D74644" w:rsidP="00D7464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07EF295F" w14:textId="77777777" w:rsidTr="00D74644">
        <w:trPr>
          <w:trHeight w:val="158"/>
        </w:trPr>
        <w:tc>
          <w:tcPr>
            <w:tcW w:w="1585" w:type="dxa"/>
          </w:tcPr>
          <w:p w14:paraId="69795F8F" w14:textId="77777777"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 xml:space="preserve">Finland (DGF) </w:t>
            </w:r>
          </w:p>
        </w:tc>
        <w:tc>
          <w:tcPr>
            <w:tcW w:w="1585" w:type="dxa"/>
          </w:tcPr>
          <w:p w14:paraId="7053E875" w14:textId="0E657D8F"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BHTG</w:t>
            </w:r>
          </w:p>
        </w:tc>
        <w:tc>
          <w:tcPr>
            <w:tcW w:w="1586" w:type="dxa"/>
          </w:tcPr>
          <w:p w14:paraId="5E09C5D7"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85" w:type="dxa"/>
          </w:tcPr>
          <w:p w14:paraId="37F7B454"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85" w:type="dxa"/>
          </w:tcPr>
          <w:p w14:paraId="34CDD195"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91" w:type="dxa"/>
          </w:tcPr>
          <w:p w14:paraId="56EE1D84" w14:textId="77777777" w:rsidR="00D74644" w:rsidRPr="004E30A9" w:rsidRDefault="00D74644" w:rsidP="00D7464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325B2E42" w14:textId="77777777" w:rsidTr="00D74644">
        <w:trPr>
          <w:trHeight w:val="145"/>
        </w:trPr>
        <w:tc>
          <w:tcPr>
            <w:tcW w:w="1585" w:type="dxa"/>
          </w:tcPr>
          <w:p w14:paraId="7D12E1DF" w14:textId="77777777"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 xml:space="preserve">Germany (BVR) </w:t>
            </w:r>
          </w:p>
        </w:tc>
        <w:tc>
          <w:tcPr>
            <w:tcW w:w="1585" w:type="dxa"/>
          </w:tcPr>
          <w:p w14:paraId="58702956" w14:textId="05196C82"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BHTG</w:t>
            </w:r>
          </w:p>
        </w:tc>
        <w:tc>
          <w:tcPr>
            <w:tcW w:w="1586" w:type="dxa"/>
          </w:tcPr>
          <w:p w14:paraId="61EEB5DC"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85" w:type="dxa"/>
          </w:tcPr>
          <w:p w14:paraId="1DC3AF29"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85" w:type="dxa"/>
          </w:tcPr>
          <w:p w14:paraId="7723837E"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91" w:type="dxa"/>
          </w:tcPr>
          <w:p w14:paraId="2878838B" w14:textId="77777777" w:rsidR="00D74644" w:rsidRPr="004E30A9" w:rsidRDefault="00D74644" w:rsidP="00D7464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51E382B7" w14:textId="77777777" w:rsidTr="00D74644">
        <w:trPr>
          <w:trHeight w:val="158"/>
        </w:trPr>
        <w:tc>
          <w:tcPr>
            <w:tcW w:w="1585" w:type="dxa"/>
          </w:tcPr>
          <w:p w14:paraId="6F0A6DBE" w14:textId="77777777"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 xml:space="preserve">Germany (DPFB) </w:t>
            </w:r>
          </w:p>
        </w:tc>
        <w:tc>
          <w:tcPr>
            <w:tcW w:w="1585" w:type="dxa"/>
          </w:tcPr>
          <w:p w14:paraId="7E211512" w14:textId="147E42AA"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BHTG</w:t>
            </w:r>
          </w:p>
        </w:tc>
        <w:tc>
          <w:tcPr>
            <w:tcW w:w="1586" w:type="dxa"/>
          </w:tcPr>
          <w:p w14:paraId="563247E7"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85" w:type="dxa"/>
          </w:tcPr>
          <w:p w14:paraId="61FD4634"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85" w:type="dxa"/>
          </w:tcPr>
          <w:p w14:paraId="4C7B1833"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91" w:type="dxa"/>
          </w:tcPr>
          <w:p w14:paraId="295C382B" w14:textId="77777777" w:rsidR="00D74644" w:rsidRPr="004E30A9" w:rsidRDefault="00D74644" w:rsidP="00D7464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504EB08F" w14:textId="77777777" w:rsidTr="00D74644">
        <w:trPr>
          <w:trHeight w:val="145"/>
        </w:trPr>
        <w:tc>
          <w:tcPr>
            <w:tcW w:w="1585" w:type="dxa"/>
          </w:tcPr>
          <w:p w14:paraId="201A900F" w14:textId="77777777"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lastRenderedPageBreak/>
              <w:t xml:space="preserve">Indonesia (IDIC) </w:t>
            </w:r>
          </w:p>
        </w:tc>
        <w:tc>
          <w:tcPr>
            <w:tcW w:w="1585" w:type="dxa"/>
          </w:tcPr>
          <w:p w14:paraId="3615404E" w14:textId="16A502B0"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BHTG</w:t>
            </w:r>
          </w:p>
        </w:tc>
        <w:tc>
          <w:tcPr>
            <w:tcW w:w="1586" w:type="dxa"/>
          </w:tcPr>
          <w:p w14:paraId="6850B44B"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85" w:type="dxa"/>
          </w:tcPr>
          <w:p w14:paraId="7B2197C8"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85" w:type="dxa"/>
          </w:tcPr>
          <w:p w14:paraId="52C8BB22"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91" w:type="dxa"/>
          </w:tcPr>
          <w:p w14:paraId="79BFDB58" w14:textId="77777777" w:rsidR="00D74644" w:rsidRPr="004E30A9" w:rsidRDefault="00D74644" w:rsidP="00D7464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5555100A" w14:textId="77777777" w:rsidTr="00D74644">
        <w:trPr>
          <w:trHeight w:val="145"/>
        </w:trPr>
        <w:tc>
          <w:tcPr>
            <w:tcW w:w="1585" w:type="dxa"/>
          </w:tcPr>
          <w:p w14:paraId="037849FE" w14:textId="3EC7C728"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 xml:space="preserve">Japan (DICJ) </w:t>
            </w:r>
          </w:p>
        </w:tc>
        <w:tc>
          <w:tcPr>
            <w:tcW w:w="1585" w:type="dxa"/>
          </w:tcPr>
          <w:p w14:paraId="38BB34AB" w14:textId="5FF20D1B"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BHTG</w:t>
            </w:r>
          </w:p>
        </w:tc>
        <w:tc>
          <w:tcPr>
            <w:tcW w:w="1586" w:type="dxa"/>
          </w:tcPr>
          <w:p w14:paraId="00E06216" w14:textId="7DB011DB"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85" w:type="dxa"/>
          </w:tcPr>
          <w:p w14:paraId="3B1F90ED" w14:textId="66A9EC2D"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85" w:type="dxa"/>
          </w:tcPr>
          <w:p w14:paraId="4507B103" w14:textId="1FD670A9"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91" w:type="dxa"/>
          </w:tcPr>
          <w:p w14:paraId="531E8805" w14:textId="00ACD5F8" w:rsidR="00D74644" w:rsidRPr="004E30A9" w:rsidRDefault="00D74644" w:rsidP="00D7464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455E3708" w14:textId="77777777" w:rsidTr="00D74644">
        <w:trPr>
          <w:trHeight w:val="145"/>
        </w:trPr>
        <w:tc>
          <w:tcPr>
            <w:tcW w:w="1585" w:type="dxa"/>
          </w:tcPr>
          <w:p w14:paraId="3300DCF8" w14:textId="77777777"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 xml:space="preserve">Korea (KDIC) </w:t>
            </w:r>
          </w:p>
        </w:tc>
        <w:tc>
          <w:tcPr>
            <w:tcW w:w="1585" w:type="dxa"/>
          </w:tcPr>
          <w:p w14:paraId="4329DCE7" w14:textId="2FEBC0F5"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BHTG</w:t>
            </w:r>
          </w:p>
        </w:tc>
        <w:tc>
          <w:tcPr>
            <w:tcW w:w="1586" w:type="dxa"/>
          </w:tcPr>
          <w:p w14:paraId="380C5658"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85" w:type="dxa"/>
          </w:tcPr>
          <w:p w14:paraId="4C59524C"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85" w:type="dxa"/>
          </w:tcPr>
          <w:p w14:paraId="19B70FC5"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91" w:type="dxa"/>
          </w:tcPr>
          <w:p w14:paraId="1EE4AA19" w14:textId="77777777" w:rsidR="00D74644" w:rsidRPr="004E30A9" w:rsidRDefault="00D74644" w:rsidP="00D7464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7867E898" w14:textId="77777777" w:rsidTr="00D74644">
        <w:trPr>
          <w:trHeight w:val="158"/>
        </w:trPr>
        <w:tc>
          <w:tcPr>
            <w:tcW w:w="1585" w:type="dxa"/>
          </w:tcPr>
          <w:p w14:paraId="4A71FF5A" w14:textId="77777777"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 xml:space="preserve">Mexico (IPAB) </w:t>
            </w:r>
          </w:p>
        </w:tc>
        <w:tc>
          <w:tcPr>
            <w:tcW w:w="1585" w:type="dxa"/>
          </w:tcPr>
          <w:p w14:paraId="125E0A8C" w14:textId="43A4C8EF"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BHTG</w:t>
            </w:r>
          </w:p>
        </w:tc>
        <w:tc>
          <w:tcPr>
            <w:tcW w:w="1586" w:type="dxa"/>
          </w:tcPr>
          <w:p w14:paraId="3CC75116"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85" w:type="dxa"/>
          </w:tcPr>
          <w:p w14:paraId="457E839F"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85" w:type="dxa"/>
          </w:tcPr>
          <w:p w14:paraId="218C414E"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91" w:type="dxa"/>
          </w:tcPr>
          <w:p w14:paraId="1CB21F4F" w14:textId="77777777" w:rsidR="00D74644" w:rsidRPr="004E30A9" w:rsidRDefault="00D74644" w:rsidP="00D7464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5EAE1F07" w14:textId="77777777" w:rsidTr="00D74644">
        <w:trPr>
          <w:trHeight w:val="145"/>
        </w:trPr>
        <w:tc>
          <w:tcPr>
            <w:tcW w:w="1585" w:type="dxa"/>
          </w:tcPr>
          <w:p w14:paraId="455319B0" w14:textId="77777777"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 xml:space="preserve">Nigeria (NDIC) </w:t>
            </w:r>
          </w:p>
        </w:tc>
        <w:tc>
          <w:tcPr>
            <w:tcW w:w="1585" w:type="dxa"/>
          </w:tcPr>
          <w:p w14:paraId="200D4231" w14:textId="32C85909"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BHTG</w:t>
            </w:r>
          </w:p>
        </w:tc>
        <w:tc>
          <w:tcPr>
            <w:tcW w:w="1586" w:type="dxa"/>
          </w:tcPr>
          <w:p w14:paraId="37B10FB1"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85" w:type="dxa"/>
          </w:tcPr>
          <w:p w14:paraId="1EB3D47E"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85" w:type="dxa"/>
          </w:tcPr>
          <w:p w14:paraId="73EB9B6B"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91" w:type="dxa"/>
          </w:tcPr>
          <w:p w14:paraId="30B65A2C" w14:textId="77777777" w:rsidR="00D74644" w:rsidRPr="004E30A9" w:rsidRDefault="00D74644" w:rsidP="00D7464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4BDC0B19" w14:textId="77777777" w:rsidTr="00D74644">
        <w:trPr>
          <w:trHeight w:val="157"/>
        </w:trPr>
        <w:tc>
          <w:tcPr>
            <w:tcW w:w="1585" w:type="dxa"/>
          </w:tcPr>
          <w:p w14:paraId="58E92F9A" w14:textId="77777777"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 xml:space="preserve">Poland (BFG) </w:t>
            </w:r>
          </w:p>
        </w:tc>
        <w:tc>
          <w:tcPr>
            <w:tcW w:w="1585" w:type="dxa"/>
          </w:tcPr>
          <w:p w14:paraId="04D3FB8B" w14:textId="38BAA3C5"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BHTG</w:t>
            </w:r>
          </w:p>
        </w:tc>
        <w:tc>
          <w:tcPr>
            <w:tcW w:w="1586" w:type="dxa"/>
          </w:tcPr>
          <w:p w14:paraId="5365B9BE"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85" w:type="dxa"/>
          </w:tcPr>
          <w:p w14:paraId="00939B59"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85" w:type="dxa"/>
          </w:tcPr>
          <w:p w14:paraId="39BB5955"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91" w:type="dxa"/>
          </w:tcPr>
          <w:p w14:paraId="635EEDF7" w14:textId="77777777" w:rsidR="00D74644" w:rsidRPr="004E30A9" w:rsidRDefault="00D74644" w:rsidP="00D7464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75D98A4F" w14:textId="77777777" w:rsidTr="00D74644">
        <w:trPr>
          <w:trHeight w:val="145"/>
        </w:trPr>
        <w:tc>
          <w:tcPr>
            <w:tcW w:w="1585" w:type="dxa"/>
          </w:tcPr>
          <w:p w14:paraId="53A2AD46" w14:textId="77777777"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 xml:space="preserve">Spain (FGD) </w:t>
            </w:r>
          </w:p>
        </w:tc>
        <w:tc>
          <w:tcPr>
            <w:tcW w:w="1585" w:type="dxa"/>
          </w:tcPr>
          <w:p w14:paraId="22DE458D" w14:textId="34AFCEA3"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BHTG</w:t>
            </w:r>
          </w:p>
        </w:tc>
        <w:tc>
          <w:tcPr>
            <w:tcW w:w="1586" w:type="dxa"/>
          </w:tcPr>
          <w:p w14:paraId="441EF403"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85" w:type="dxa"/>
          </w:tcPr>
          <w:p w14:paraId="7283DCFF"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85" w:type="dxa"/>
          </w:tcPr>
          <w:p w14:paraId="47C20E89"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91" w:type="dxa"/>
          </w:tcPr>
          <w:p w14:paraId="7AB466D2" w14:textId="77777777" w:rsidR="00D74644" w:rsidRPr="004E30A9" w:rsidRDefault="00D74644" w:rsidP="00D7464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44F8650A" w14:textId="77777777" w:rsidTr="00D74644">
        <w:trPr>
          <w:trHeight w:val="157"/>
        </w:trPr>
        <w:tc>
          <w:tcPr>
            <w:tcW w:w="1585" w:type="dxa"/>
          </w:tcPr>
          <w:p w14:paraId="359BFB00" w14:textId="77777777"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 xml:space="preserve">Sri Lanka (SLDIS) </w:t>
            </w:r>
          </w:p>
        </w:tc>
        <w:tc>
          <w:tcPr>
            <w:tcW w:w="1585" w:type="dxa"/>
          </w:tcPr>
          <w:p w14:paraId="3BF9040B" w14:textId="590F0D1B"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BHTG</w:t>
            </w:r>
          </w:p>
        </w:tc>
        <w:tc>
          <w:tcPr>
            <w:tcW w:w="1586" w:type="dxa"/>
          </w:tcPr>
          <w:p w14:paraId="5B1CFA0E"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85" w:type="dxa"/>
          </w:tcPr>
          <w:p w14:paraId="01B1BFAF"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85" w:type="dxa"/>
          </w:tcPr>
          <w:p w14:paraId="1B1352D3"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91" w:type="dxa"/>
          </w:tcPr>
          <w:p w14:paraId="4F5D2F9C" w14:textId="77777777" w:rsidR="00D74644" w:rsidRPr="004E30A9" w:rsidRDefault="00D74644" w:rsidP="00D7464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768CB069" w14:textId="77777777" w:rsidTr="00D74644">
        <w:trPr>
          <w:trHeight w:val="145"/>
        </w:trPr>
        <w:tc>
          <w:tcPr>
            <w:tcW w:w="1585" w:type="dxa"/>
          </w:tcPr>
          <w:p w14:paraId="084903A8" w14:textId="77777777"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 xml:space="preserve">Turkey (SDIF) </w:t>
            </w:r>
          </w:p>
        </w:tc>
        <w:tc>
          <w:tcPr>
            <w:tcW w:w="1585" w:type="dxa"/>
          </w:tcPr>
          <w:p w14:paraId="741E0165" w14:textId="2EF05522"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BHTG</w:t>
            </w:r>
          </w:p>
        </w:tc>
        <w:tc>
          <w:tcPr>
            <w:tcW w:w="1586" w:type="dxa"/>
          </w:tcPr>
          <w:p w14:paraId="3E2876D4"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85" w:type="dxa"/>
          </w:tcPr>
          <w:p w14:paraId="316375AA"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85" w:type="dxa"/>
          </w:tcPr>
          <w:p w14:paraId="4FA5BBA5"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91" w:type="dxa"/>
          </w:tcPr>
          <w:p w14:paraId="241C8E52" w14:textId="77777777" w:rsidR="00D74644" w:rsidRPr="004E30A9" w:rsidRDefault="00D74644" w:rsidP="00D7464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58BAE462" w14:textId="77777777" w:rsidTr="00D74644">
        <w:trPr>
          <w:trHeight w:val="157"/>
        </w:trPr>
        <w:tc>
          <w:tcPr>
            <w:tcW w:w="1585" w:type="dxa"/>
          </w:tcPr>
          <w:p w14:paraId="0E589712" w14:textId="77777777"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 xml:space="preserve">Uruguay (COPAB) </w:t>
            </w:r>
          </w:p>
        </w:tc>
        <w:tc>
          <w:tcPr>
            <w:tcW w:w="1585" w:type="dxa"/>
          </w:tcPr>
          <w:p w14:paraId="77A848CE" w14:textId="4CD0E94D"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BHTG</w:t>
            </w:r>
          </w:p>
        </w:tc>
        <w:tc>
          <w:tcPr>
            <w:tcW w:w="1586" w:type="dxa"/>
          </w:tcPr>
          <w:p w14:paraId="0DFDFAAE"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85" w:type="dxa"/>
          </w:tcPr>
          <w:p w14:paraId="638691CB"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85" w:type="dxa"/>
          </w:tcPr>
          <w:p w14:paraId="3C93F582"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91" w:type="dxa"/>
          </w:tcPr>
          <w:p w14:paraId="133E5120" w14:textId="77777777" w:rsidR="00D74644" w:rsidRPr="004E30A9" w:rsidRDefault="00D74644" w:rsidP="00D7464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r w:rsidR="004D2F23" w:rsidRPr="00EB6ED7" w14:paraId="53D2FE75" w14:textId="77777777" w:rsidTr="00D74644">
        <w:trPr>
          <w:trHeight w:val="145"/>
        </w:trPr>
        <w:tc>
          <w:tcPr>
            <w:tcW w:w="1585" w:type="dxa"/>
          </w:tcPr>
          <w:p w14:paraId="14D86071" w14:textId="77777777"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 xml:space="preserve">US (FDIC) </w:t>
            </w:r>
          </w:p>
        </w:tc>
        <w:tc>
          <w:tcPr>
            <w:tcW w:w="1585" w:type="dxa"/>
          </w:tcPr>
          <w:p w14:paraId="4BF8848D" w14:textId="784C7C9F" w:rsidR="00D74644" w:rsidRPr="004E30A9" w:rsidRDefault="00D74644" w:rsidP="00D74644">
            <w:pPr>
              <w:autoSpaceDE w:val="0"/>
              <w:autoSpaceDN w:val="0"/>
              <w:adjustRightInd w:val="0"/>
              <w:spacing w:after="0" w:line="240" w:lineRule="auto"/>
              <w:rPr>
                <w:rFonts w:ascii="Times New Roman" w:hAnsi="Times New Roman" w:cs="Times New Roman"/>
                <w:sz w:val="26"/>
                <w:szCs w:val="26"/>
              </w:rPr>
            </w:pPr>
            <w:r w:rsidRPr="004E30A9">
              <w:rPr>
                <w:rFonts w:ascii="Times New Roman" w:hAnsi="Times New Roman" w:cs="Times New Roman"/>
                <w:sz w:val="26"/>
                <w:szCs w:val="26"/>
              </w:rPr>
              <w:t>BHTG</w:t>
            </w:r>
          </w:p>
        </w:tc>
        <w:tc>
          <w:tcPr>
            <w:tcW w:w="1586" w:type="dxa"/>
          </w:tcPr>
          <w:p w14:paraId="1801E33A"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85" w:type="dxa"/>
          </w:tcPr>
          <w:p w14:paraId="1B76DEEC"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85" w:type="dxa"/>
          </w:tcPr>
          <w:p w14:paraId="3A52B5B6" w14:textId="77777777" w:rsidR="00D74644" w:rsidRPr="004E30A9" w:rsidRDefault="00D74644" w:rsidP="00D74644">
            <w:pPr>
              <w:autoSpaceDE w:val="0"/>
              <w:autoSpaceDN w:val="0"/>
              <w:adjustRightInd w:val="0"/>
              <w:spacing w:after="0" w:line="240" w:lineRule="auto"/>
              <w:rPr>
                <w:rFonts w:ascii="Segoe UI" w:hAnsi="Segoe UI" w:cs="Segoe UI"/>
                <w:sz w:val="26"/>
                <w:szCs w:val="26"/>
              </w:rPr>
            </w:pPr>
            <w:r w:rsidRPr="004E30A9">
              <w:rPr>
                <w:rFonts w:ascii="Segoe UI" w:hAnsi="Segoe UI" w:cs="Segoe UI"/>
                <w:sz w:val="26"/>
                <w:szCs w:val="26"/>
              </w:rPr>
              <w:t xml:space="preserve">- </w:t>
            </w:r>
          </w:p>
        </w:tc>
        <w:tc>
          <w:tcPr>
            <w:tcW w:w="1591" w:type="dxa"/>
          </w:tcPr>
          <w:p w14:paraId="1211E6E1" w14:textId="77777777" w:rsidR="00D74644" w:rsidRPr="004E30A9" w:rsidRDefault="00D74644" w:rsidP="00D74644">
            <w:pPr>
              <w:autoSpaceDE w:val="0"/>
              <w:autoSpaceDN w:val="0"/>
              <w:adjustRightInd w:val="0"/>
              <w:spacing w:after="0" w:line="240" w:lineRule="auto"/>
              <w:rPr>
                <w:rFonts w:ascii="Wingdings" w:hAnsi="Wingdings" w:cs="Wingdings"/>
                <w:sz w:val="26"/>
                <w:szCs w:val="26"/>
              </w:rPr>
            </w:pPr>
            <w:r w:rsidRPr="004E30A9">
              <w:rPr>
                <w:rFonts w:ascii="Wingdings" w:hAnsi="Wingdings" w:cs="Wingdings"/>
                <w:sz w:val="26"/>
                <w:szCs w:val="26"/>
              </w:rPr>
              <w:t></w:t>
            </w:r>
            <w:r w:rsidRPr="004E30A9">
              <w:rPr>
                <w:rFonts w:ascii="Wingdings" w:hAnsi="Wingdings" w:cs="Wingdings"/>
                <w:sz w:val="26"/>
                <w:szCs w:val="26"/>
              </w:rPr>
              <w:t></w:t>
            </w:r>
          </w:p>
        </w:tc>
      </w:tr>
    </w:tbl>
    <w:p w14:paraId="13096236" w14:textId="77777777" w:rsidR="00D74644" w:rsidRPr="004E30A9" w:rsidRDefault="00D74644" w:rsidP="00D74644">
      <w:pPr>
        <w:jc w:val="both"/>
        <w:rPr>
          <w:rFonts w:ascii="Times New Roman" w:hAnsi="Times New Roman" w:cs="Times New Roman"/>
          <w:sz w:val="26"/>
          <w:szCs w:val="26"/>
        </w:rPr>
      </w:pPr>
    </w:p>
    <w:p w14:paraId="73B505C8" w14:textId="77777777" w:rsidR="00E414B8" w:rsidRPr="004E30A9" w:rsidRDefault="00D74644" w:rsidP="00A26ADD">
      <w:pPr>
        <w:spacing w:line="276" w:lineRule="auto"/>
        <w:ind w:firstLine="720"/>
        <w:jc w:val="both"/>
        <w:rPr>
          <w:rFonts w:ascii="Times New Roman" w:hAnsi="Times New Roman" w:cs="Times New Roman"/>
          <w:sz w:val="26"/>
          <w:szCs w:val="26"/>
        </w:rPr>
      </w:pPr>
      <w:r w:rsidRPr="004E30A9">
        <w:rPr>
          <w:rFonts w:ascii="Times New Roman" w:hAnsi="Times New Roman" w:cs="Times New Roman"/>
          <w:sz w:val="26"/>
          <w:szCs w:val="26"/>
        </w:rPr>
        <w:t xml:space="preserve">Theo đó, 19 tổ chức BHTG có quyền kiểm soát, tổ chức BHTG có toàn quyền quyết định về cách thức sử dụng quỹ BHTG để thực hiện nhiệm vụ tái cơ cấu. </w:t>
      </w:r>
      <w:r w:rsidR="00E414B8" w:rsidRPr="004E30A9">
        <w:rPr>
          <w:rFonts w:ascii="Times New Roman" w:hAnsi="Times New Roman" w:cs="Times New Roman"/>
          <w:sz w:val="26"/>
          <w:szCs w:val="26"/>
        </w:rPr>
        <w:t xml:space="preserve">Ví dụ, DIS Úc (FCS) được quản lý bởi Cơ quan quản lý thận trọng Úc (APRA), cũng là cơ quan thực hiện tái cơ cấu ngân hàng. Khung pháp lý của Úc giới hạn mức hỗ trợ tài chính mà FCS có thể cung cấp trừ khi được cơ quan lập pháp chấp thuận. Trong trường hợp này, Chính phủ có thể cung cấp, bằng khoản phân bổ thường trực, lên đến 20 tỷ đô la Úc để tài trợ cho việc chuyển các khoản nợ tiền gửi được bảo vệ sang một cơ quan tiếp nhận và lên đến 100 triệu đô la Úc để trang trải chi phí quản lý, cho một ngân hàng riêng lẻ. Việc tài trợ thêm sẽ cần có sự chấp thuận của Quốc hội. </w:t>
      </w:r>
    </w:p>
    <w:p w14:paraId="4D91F101" w14:textId="77777777" w:rsidR="00E414B8" w:rsidRPr="004E30A9" w:rsidRDefault="00D74644" w:rsidP="00A26ADD">
      <w:pPr>
        <w:spacing w:line="276" w:lineRule="auto"/>
        <w:ind w:firstLine="720"/>
        <w:jc w:val="both"/>
        <w:rPr>
          <w:rFonts w:ascii="Times New Roman" w:hAnsi="Times New Roman" w:cs="Times New Roman"/>
          <w:sz w:val="26"/>
          <w:szCs w:val="26"/>
        </w:rPr>
      </w:pPr>
      <w:r w:rsidRPr="004E30A9">
        <w:rPr>
          <w:rFonts w:ascii="Times New Roman" w:hAnsi="Times New Roman" w:cs="Times New Roman"/>
          <w:sz w:val="26"/>
          <w:szCs w:val="26"/>
        </w:rPr>
        <w:t>Có 5 trường hợp mà quyết định được đưa ra bởi một cơ quan khác nhưng tham vấn BHTG trước khi đưa ra quyết định cuối cùng về việc sử dụng quỹ BHTG, 1/5 BHTG đó có thể thực hiện quyền phủ quyết</w:t>
      </w:r>
      <w:r w:rsidR="00E414B8" w:rsidRPr="004E30A9">
        <w:rPr>
          <w:rFonts w:ascii="Times New Roman" w:hAnsi="Times New Roman" w:cs="Times New Roman"/>
          <w:sz w:val="26"/>
          <w:szCs w:val="26"/>
        </w:rPr>
        <w:t xml:space="preserve"> quyết định của cơ quan có thẩm quyền khác</w:t>
      </w:r>
      <w:r w:rsidRPr="004E30A9">
        <w:rPr>
          <w:rFonts w:ascii="Times New Roman" w:hAnsi="Times New Roman" w:cs="Times New Roman"/>
          <w:sz w:val="26"/>
          <w:szCs w:val="26"/>
        </w:rPr>
        <w:t>.</w:t>
      </w:r>
    </w:p>
    <w:p w14:paraId="1E83DB02" w14:textId="77777777" w:rsidR="001943B5" w:rsidRPr="004E30A9" w:rsidRDefault="001943B5" w:rsidP="00A26ADD">
      <w:pPr>
        <w:spacing w:line="276" w:lineRule="auto"/>
        <w:ind w:firstLine="720"/>
        <w:jc w:val="both"/>
        <w:rPr>
          <w:rFonts w:ascii="Times New Roman" w:hAnsi="Times New Roman" w:cs="Times New Roman"/>
          <w:b/>
          <w:sz w:val="26"/>
          <w:szCs w:val="26"/>
        </w:rPr>
      </w:pPr>
      <w:r w:rsidRPr="004E30A9">
        <w:rPr>
          <w:rFonts w:ascii="Times New Roman" w:hAnsi="Times New Roman" w:cs="Times New Roman"/>
          <w:b/>
          <w:sz w:val="26"/>
          <w:szCs w:val="26"/>
        </w:rPr>
        <w:t>- Các nguồn vốn dự phòng</w:t>
      </w:r>
    </w:p>
    <w:p w14:paraId="532FBF88" w14:textId="77777777" w:rsidR="0059424E" w:rsidRPr="004E30A9" w:rsidRDefault="001943B5" w:rsidP="00A26ADD">
      <w:pPr>
        <w:spacing w:line="276" w:lineRule="auto"/>
        <w:ind w:firstLine="720"/>
        <w:jc w:val="both"/>
        <w:rPr>
          <w:rFonts w:ascii="Times New Roman" w:hAnsi="Times New Roman" w:cs="Times New Roman"/>
          <w:sz w:val="26"/>
          <w:szCs w:val="26"/>
        </w:rPr>
      </w:pPr>
      <w:r w:rsidRPr="004E30A9">
        <w:rPr>
          <w:rFonts w:ascii="Times New Roman" w:hAnsi="Times New Roman" w:cs="Times New Roman"/>
          <w:sz w:val="26"/>
          <w:szCs w:val="26"/>
        </w:rPr>
        <w:t>Tùy từng quốc gia, BHTG có thể tiếp cận nguồn vốn dự phòng từ cả khu vực công và khu vực tư. Nguồn công bao gồm (nguồn tài trợ từ chính phủ, vay từ NHTW) và từ khu vực tư (tham gia vào thị trường tư nhân, bao gồm phát hành trái phiếu; vay từ ngân hàng tư nhân và thu thêm phí).</w:t>
      </w:r>
    </w:p>
    <w:p w14:paraId="735BFD2A" w14:textId="77777777" w:rsidR="00EB6ED7" w:rsidRPr="00EB6ED7" w:rsidRDefault="00EB6ED7" w:rsidP="00EB6ED7">
      <w:pPr>
        <w:spacing w:before="120" w:after="0" w:line="276" w:lineRule="auto"/>
        <w:ind w:firstLine="567"/>
        <w:jc w:val="center"/>
        <w:rPr>
          <w:rFonts w:ascii="Times New Roman" w:eastAsia="Times New Roman" w:hAnsi="Times New Roman"/>
          <w:b/>
          <w:sz w:val="26"/>
          <w:szCs w:val="26"/>
        </w:rPr>
      </w:pPr>
      <w:r w:rsidRPr="004E30A9">
        <w:rPr>
          <w:rFonts w:ascii="Times New Roman" w:hAnsi="Times New Roman" w:cs="Times New Roman"/>
          <w:b/>
          <w:sz w:val="26"/>
          <w:szCs w:val="26"/>
        </w:rPr>
        <w:t>D.</w:t>
      </w:r>
      <w:r w:rsidRPr="004E30A9">
        <w:rPr>
          <w:rFonts w:ascii="Times New Roman" w:hAnsi="Times New Roman" w:cs="Times New Roman"/>
          <w:sz w:val="26"/>
          <w:szCs w:val="26"/>
        </w:rPr>
        <w:t xml:space="preserve"> </w:t>
      </w:r>
      <w:r w:rsidRPr="00EB6ED7">
        <w:rPr>
          <w:rFonts w:ascii="Times New Roman" w:eastAsia="Times New Roman" w:hAnsi="Times New Roman"/>
          <w:b/>
          <w:sz w:val="26"/>
          <w:szCs w:val="26"/>
        </w:rPr>
        <w:t>KINH NGHIỆM QUỐC TẾ VỀ VIỆC TỔ CHỨC BHTG</w:t>
      </w:r>
    </w:p>
    <w:p w14:paraId="2B0C3A4E" w14:textId="77777777" w:rsidR="00EB6ED7" w:rsidRPr="00EB6ED7" w:rsidRDefault="00EB6ED7" w:rsidP="00EB6ED7">
      <w:pPr>
        <w:spacing w:before="120" w:after="0" w:line="276" w:lineRule="auto"/>
        <w:ind w:firstLine="567"/>
        <w:jc w:val="center"/>
        <w:rPr>
          <w:rFonts w:ascii="Times New Roman" w:eastAsia="Times New Roman" w:hAnsi="Times New Roman"/>
          <w:b/>
          <w:sz w:val="26"/>
          <w:szCs w:val="26"/>
        </w:rPr>
      </w:pPr>
      <w:r w:rsidRPr="00EB6ED7">
        <w:rPr>
          <w:rFonts w:ascii="Times New Roman" w:eastAsia="Times New Roman" w:hAnsi="Times New Roman"/>
          <w:b/>
          <w:sz w:val="26"/>
          <w:szCs w:val="26"/>
        </w:rPr>
        <w:t>THU PHÍ ĐẶC BIỆT</w:t>
      </w:r>
    </w:p>
    <w:p w14:paraId="26A20C40" w14:textId="0D768561" w:rsidR="00EB6ED7" w:rsidRPr="00EB6ED7" w:rsidRDefault="00EB6ED7" w:rsidP="00A4561F">
      <w:pPr>
        <w:spacing w:before="120" w:after="120" w:line="288" w:lineRule="auto"/>
        <w:ind w:firstLine="709"/>
        <w:jc w:val="both"/>
        <w:rPr>
          <w:rFonts w:ascii="Times New Roman" w:eastAsia="Times New Roman" w:hAnsi="Times New Roman"/>
          <w:b/>
          <w:sz w:val="26"/>
          <w:szCs w:val="26"/>
        </w:rPr>
      </w:pPr>
      <w:r w:rsidRPr="00EB6ED7">
        <w:rPr>
          <w:rFonts w:ascii="Times New Roman" w:eastAsia="Times New Roman" w:hAnsi="Times New Roman"/>
          <w:b/>
          <w:sz w:val="26"/>
          <w:szCs w:val="26"/>
        </w:rPr>
        <w:lastRenderedPageBreak/>
        <w:t>1. Mỹ</w:t>
      </w:r>
    </w:p>
    <w:p w14:paraId="6BEDEDC2" w14:textId="2695EECC" w:rsidR="00EB6ED7" w:rsidRPr="00EB6ED7" w:rsidRDefault="00A4561F" w:rsidP="00A4561F">
      <w:pPr>
        <w:tabs>
          <w:tab w:val="left" w:pos="540"/>
        </w:tabs>
        <w:spacing w:before="120" w:after="120" w:line="288" w:lineRule="auto"/>
        <w:ind w:firstLine="720"/>
        <w:jc w:val="both"/>
        <w:rPr>
          <w:rFonts w:ascii="Times New Roman" w:hAnsi="Times New Roman" w:cs="Times New Roman"/>
          <w:b/>
          <w:bCs/>
          <w:sz w:val="26"/>
          <w:szCs w:val="26"/>
        </w:rPr>
      </w:pPr>
      <w:r>
        <w:rPr>
          <w:rFonts w:ascii="Times New Roman" w:hAnsi="Times New Roman" w:cs="Times New Roman"/>
          <w:sz w:val="26"/>
          <w:szCs w:val="26"/>
        </w:rPr>
        <w:t>T</w:t>
      </w:r>
      <w:r w:rsidRPr="00EB6ED7">
        <w:rPr>
          <w:rFonts w:ascii="Times New Roman" w:hAnsi="Times New Roman" w:cs="Times New Roman"/>
          <w:sz w:val="26"/>
          <w:szCs w:val="26"/>
        </w:rPr>
        <w:t xml:space="preserve">rong trường hợp quỹ BHTG </w:t>
      </w:r>
      <w:r w:rsidR="00EB6ED7" w:rsidRPr="00EB6ED7">
        <w:rPr>
          <w:rFonts w:ascii="Times New Roman" w:hAnsi="Times New Roman" w:cs="Times New Roman"/>
          <w:sz w:val="26"/>
          <w:szCs w:val="26"/>
        </w:rPr>
        <w:t xml:space="preserve">tham gia vào quá trình xử lý ngân hàng </w:t>
      </w:r>
      <w:r>
        <w:rPr>
          <w:rFonts w:ascii="Times New Roman" w:hAnsi="Times New Roman" w:cs="Times New Roman"/>
          <w:sz w:val="26"/>
          <w:szCs w:val="26"/>
        </w:rPr>
        <w:t>yếu kém</w:t>
      </w:r>
      <w:r w:rsidR="00EB6ED7" w:rsidRPr="00EB6ED7">
        <w:rPr>
          <w:rFonts w:ascii="Times New Roman" w:hAnsi="Times New Roman" w:cs="Times New Roman"/>
          <w:sz w:val="26"/>
          <w:szCs w:val="26"/>
        </w:rPr>
        <w:t xml:space="preserve"> hoặc chi trả</w:t>
      </w:r>
      <w:r>
        <w:rPr>
          <w:rFonts w:ascii="Times New Roman" w:hAnsi="Times New Roman" w:cs="Times New Roman"/>
          <w:sz w:val="26"/>
          <w:szCs w:val="26"/>
        </w:rPr>
        <w:t xml:space="preserve"> tiền</w:t>
      </w:r>
      <w:r w:rsidR="00EB6ED7" w:rsidRPr="00EB6ED7">
        <w:rPr>
          <w:rFonts w:ascii="Times New Roman" w:hAnsi="Times New Roman" w:cs="Times New Roman"/>
          <w:sz w:val="26"/>
          <w:szCs w:val="26"/>
        </w:rPr>
        <w:t xml:space="preserve"> BHTG</w:t>
      </w:r>
      <w:r>
        <w:rPr>
          <w:rFonts w:ascii="Times New Roman" w:hAnsi="Times New Roman" w:cs="Times New Roman"/>
          <w:sz w:val="26"/>
          <w:szCs w:val="26"/>
        </w:rPr>
        <w:t xml:space="preserve"> dẫn đến</w:t>
      </w:r>
      <w:r w:rsidR="00EB6ED7" w:rsidRPr="00EB6ED7">
        <w:rPr>
          <w:rFonts w:ascii="Times New Roman" w:hAnsi="Times New Roman" w:cs="Times New Roman"/>
          <w:sz w:val="26"/>
          <w:szCs w:val="26"/>
        </w:rPr>
        <w:t xml:space="preserve"> tổn thất quỹ</w:t>
      </w:r>
      <w:r>
        <w:rPr>
          <w:rFonts w:ascii="Times New Roman" w:hAnsi="Times New Roman" w:cs="Times New Roman"/>
          <w:sz w:val="26"/>
          <w:szCs w:val="26"/>
        </w:rPr>
        <w:t xml:space="preserve"> BHTG</w:t>
      </w:r>
      <w:r w:rsidR="00EB6ED7" w:rsidRPr="00EB6ED7">
        <w:rPr>
          <w:rFonts w:ascii="Times New Roman" w:hAnsi="Times New Roman" w:cs="Times New Roman"/>
          <w:sz w:val="26"/>
          <w:szCs w:val="26"/>
        </w:rPr>
        <w:t>, Đạo luật D</w:t>
      </w:r>
      <w:r w:rsidR="00EB6ED7">
        <w:rPr>
          <w:rFonts w:ascii="Times New Roman" w:hAnsi="Times New Roman" w:cs="Times New Roman"/>
          <w:sz w:val="26"/>
          <w:szCs w:val="26"/>
        </w:rPr>
        <w:t xml:space="preserve">odd-Frank cho phép </w:t>
      </w:r>
      <w:r w:rsidR="00EB6ED7" w:rsidRPr="00EB6ED7">
        <w:rPr>
          <w:rFonts w:ascii="Times New Roman" w:hAnsi="Times New Roman" w:cs="Times New Roman"/>
          <w:sz w:val="26"/>
          <w:szCs w:val="26"/>
        </w:rPr>
        <w:t>FDIC thu phí đặc biệt</w:t>
      </w:r>
      <w:r>
        <w:rPr>
          <w:rFonts w:ascii="Times New Roman" w:hAnsi="Times New Roman" w:cs="Times New Roman"/>
          <w:sz w:val="26"/>
          <w:szCs w:val="26"/>
        </w:rPr>
        <w:t xml:space="preserve"> để bù đắp chi phí</w:t>
      </w:r>
      <w:r w:rsidR="00EB6ED7" w:rsidRPr="00EB6ED7">
        <w:rPr>
          <w:rFonts w:ascii="Times New Roman" w:hAnsi="Times New Roman" w:cs="Times New Roman"/>
          <w:sz w:val="26"/>
          <w:szCs w:val="26"/>
        </w:rPr>
        <w:t>.</w:t>
      </w:r>
    </w:p>
    <w:p w14:paraId="21C70D09" w14:textId="77777777" w:rsidR="00EB6ED7" w:rsidRPr="00EB6ED7" w:rsidRDefault="00EB6ED7" w:rsidP="00A4561F">
      <w:pPr>
        <w:tabs>
          <w:tab w:val="left" w:pos="540"/>
        </w:tabs>
        <w:spacing w:before="120" w:after="120" w:line="288" w:lineRule="auto"/>
        <w:ind w:firstLine="720"/>
        <w:jc w:val="both"/>
        <w:rPr>
          <w:rFonts w:ascii="Times New Roman" w:hAnsi="Times New Roman" w:cs="Times New Roman"/>
          <w:sz w:val="26"/>
          <w:szCs w:val="26"/>
        </w:rPr>
      </w:pPr>
      <w:r w:rsidRPr="00EB6ED7">
        <w:rPr>
          <w:rFonts w:ascii="Times New Roman" w:hAnsi="Times New Roman" w:cs="Times New Roman"/>
          <w:sz w:val="26"/>
          <w:szCs w:val="26"/>
        </w:rPr>
        <w:t>Trong cuộc khủng hoảng tài chính toàn cầu năm 2008, quỹ BHTG của FDIC đã bị thâm hụt vượt quá mức dự phòng. Trước khủng hoảng, quỹ này ở mức khoảng 52 tỷ USD, tương đương 1,22% tổng số tiền gửi được bảo hiểm. Trong khoảng thời gian từ tháng 1/2008 đến tháng 9/2009, 120 ngân hàng Hoa Kỳ đã bị phá sản. Tính đến cuối tháng 9/2009, quỹ BHTG đã âm khoảng 8 tỷ USD và FDIC buộc phải tăng phí BHTG vào thời điểm căng thẳng tài chính. FDIC đã áp dụng một số biện pháp để tăng cường quỹ BHTG theo Kế hoạch phục hồi năm 2009, bao gồm áp dụng phí BHTG giữa kỳ và yêu cầu các ngân hàng nộp trước một khoản bằng ước tính 3 năm phí BHTG</w:t>
      </w:r>
      <w:r w:rsidRPr="00EB6ED7">
        <w:rPr>
          <w:rStyle w:val="FootnoteReference"/>
          <w:rFonts w:ascii="Times New Roman" w:hAnsi="Times New Roman" w:cs="Times New Roman"/>
          <w:sz w:val="26"/>
          <w:szCs w:val="26"/>
        </w:rPr>
        <w:footnoteReference w:id="16"/>
      </w:r>
      <w:r w:rsidRPr="00EB6ED7">
        <w:rPr>
          <w:rFonts w:ascii="Times New Roman" w:hAnsi="Times New Roman" w:cs="Times New Roman"/>
          <w:sz w:val="26"/>
          <w:szCs w:val="26"/>
        </w:rPr>
        <w:t>.</w:t>
      </w:r>
    </w:p>
    <w:p w14:paraId="1F6DF107" w14:textId="77777777" w:rsidR="00CF2366" w:rsidRDefault="00EB6ED7" w:rsidP="00CF2366">
      <w:pPr>
        <w:spacing w:before="120" w:after="120" w:line="288" w:lineRule="auto"/>
        <w:ind w:firstLine="720"/>
        <w:jc w:val="both"/>
        <w:textAlignment w:val="baseline"/>
        <w:rPr>
          <w:rFonts w:ascii="Times New Roman" w:hAnsi="Times New Roman"/>
          <w:color w:val="000000"/>
          <w:sz w:val="26"/>
          <w:szCs w:val="26"/>
        </w:rPr>
      </w:pPr>
      <w:r w:rsidRPr="00EB6ED7">
        <w:rPr>
          <w:rFonts w:ascii="Times New Roman" w:hAnsi="Times New Roman" w:cs="Times New Roman"/>
          <w:sz w:val="26"/>
          <w:szCs w:val="26"/>
        </w:rPr>
        <w:t xml:space="preserve">Gần đây, </w:t>
      </w:r>
      <w:r w:rsidR="00A4561F">
        <w:rPr>
          <w:rFonts w:ascii="Times New Roman" w:hAnsi="Times New Roman"/>
          <w:color w:val="000000"/>
          <w:sz w:val="26"/>
          <w:szCs w:val="26"/>
        </w:rPr>
        <w:t>n</w:t>
      </w:r>
      <w:r w:rsidR="00A4561F" w:rsidRPr="00EB6ED7">
        <w:rPr>
          <w:rFonts w:ascii="Times New Roman" w:hAnsi="Times New Roman"/>
          <w:color w:val="000000"/>
          <w:sz w:val="26"/>
          <w:szCs w:val="26"/>
        </w:rPr>
        <w:t xml:space="preserve">gày 16/11/2023, </w:t>
      </w:r>
      <w:r w:rsidR="00A4561F">
        <w:rPr>
          <w:rFonts w:ascii="Times New Roman" w:hAnsi="Times New Roman"/>
          <w:color w:val="000000"/>
          <w:sz w:val="26"/>
          <w:szCs w:val="26"/>
        </w:rPr>
        <w:t>FDIC cũng</w:t>
      </w:r>
      <w:r w:rsidR="00A4561F" w:rsidRPr="00A4561F">
        <w:rPr>
          <w:rFonts w:ascii="Times New Roman" w:hAnsi="Times New Roman"/>
          <w:color w:val="000000"/>
          <w:sz w:val="26"/>
          <w:szCs w:val="26"/>
        </w:rPr>
        <w:t xml:space="preserve"> phê duyệt k</w:t>
      </w:r>
      <w:r w:rsidR="00A4561F" w:rsidRPr="00970339">
        <w:rPr>
          <w:rFonts w:ascii="Times New Roman" w:hAnsi="Times New Roman"/>
          <w:color w:val="000000"/>
          <w:sz w:val="26"/>
          <w:szCs w:val="26"/>
        </w:rPr>
        <w:t xml:space="preserve">ế hoạch thu phí đặc biệt nhằm bù đắp thâm hụt của quỹ BHTG </w:t>
      </w:r>
      <w:r w:rsidR="00A4561F">
        <w:rPr>
          <w:rFonts w:ascii="Times New Roman" w:hAnsi="Times New Roman"/>
          <w:color w:val="000000"/>
          <w:sz w:val="26"/>
          <w:szCs w:val="26"/>
        </w:rPr>
        <w:t>sau khi</w:t>
      </w:r>
      <w:r w:rsidRPr="00EB6ED7">
        <w:rPr>
          <w:rFonts w:ascii="Times New Roman" w:hAnsi="Times New Roman" w:cs="Times New Roman"/>
          <w:sz w:val="26"/>
          <w:szCs w:val="26"/>
        </w:rPr>
        <w:t xml:space="preserve"> xử lý hai ngân hàng là </w:t>
      </w:r>
      <w:r w:rsidRPr="00EB6ED7">
        <w:rPr>
          <w:rFonts w:ascii="Times New Roman" w:eastAsia="Malgun Gothic" w:hAnsi="Times New Roman" w:cs="Times New Roman"/>
          <w:sz w:val="26"/>
          <w:szCs w:val="26"/>
          <w:lang w:eastAsia="ko-KR"/>
        </w:rPr>
        <w:t xml:space="preserve">Silicon Valley </w:t>
      </w:r>
      <w:r w:rsidRPr="00EB6ED7">
        <w:rPr>
          <w:rFonts w:ascii="Times New Roman" w:hAnsi="Times New Roman" w:cs="Times New Roman"/>
          <w:sz w:val="26"/>
          <w:szCs w:val="26"/>
        </w:rPr>
        <w:t xml:space="preserve">và </w:t>
      </w:r>
      <w:r w:rsidRPr="00EB6ED7">
        <w:rPr>
          <w:rFonts w:ascii="Times New Roman" w:eastAsia="Malgun Gothic" w:hAnsi="Times New Roman" w:cs="Times New Roman"/>
          <w:sz w:val="26"/>
          <w:szCs w:val="26"/>
          <w:lang w:eastAsia="ko-KR"/>
        </w:rPr>
        <w:t>Signature</w:t>
      </w:r>
      <w:r w:rsidR="00CF2366">
        <w:rPr>
          <w:rFonts w:ascii="Times New Roman" w:eastAsia="Malgun Gothic" w:hAnsi="Times New Roman" w:cs="Times New Roman"/>
          <w:sz w:val="26"/>
          <w:szCs w:val="26"/>
          <w:lang w:eastAsia="ko-KR"/>
        </w:rPr>
        <w:t>.</w:t>
      </w:r>
      <w:r w:rsidRPr="00EB6ED7">
        <w:rPr>
          <w:rFonts w:ascii="Times New Roman" w:eastAsia="Malgun Gothic" w:hAnsi="Times New Roman" w:cs="Times New Roman"/>
          <w:sz w:val="26"/>
          <w:szCs w:val="26"/>
          <w:lang w:eastAsia="ko-KR"/>
        </w:rPr>
        <w:t xml:space="preserve"> </w:t>
      </w:r>
      <w:r w:rsidRPr="00CF2366">
        <w:rPr>
          <w:rFonts w:ascii="Times New Roman" w:hAnsi="Times New Roman"/>
          <w:color w:val="000000"/>
          <w:sz w:val="26"/>
          <w:szCs w:val="26"/>
        </w:rPr>
        <w:t>Kế hoạch này được thực hiện dựa trên quy định của Đạo luật BHTG liên bang và tuyên bố chung về xác đ</w:t>
      </w:r>
      <w:r w:rsidRPr="00ED72CB">
        <w:rPr>
          <w:rFonts w:ascii="Times New Roman" w:hAnsi="Times New Roman"/>
          <w:color w:val="000000"/>
          <w:sz w:val="26"/>
          <w:szCs w:val="26"/>
        </w:rPr>
        <w:t>ịnh rủ</w:t>
      </w:r>
      <w:r w:rsidRPr="00C647F3">
        <w:rPr>
          <w:rFonts w:ascii="Times New Roman" w:hAnsi="Times New Roman"/>
          <w:color w:val="000000"/>
          <w:sz w:val="26"/>
          <w:szCs w:val="26"/>
        </w:rPr>
        <w:t>i ro hệ th</w:t>
      </w:r>
      <w:r w:rsidRPr="00BD74B2">
        <w:rPr>
          <w:rFonts w:ascii="Times New Roman" w:hAnsi="Times New Roman"/>
          <w:color w:val="000000"/>
          <w:sz w:val="26"/>
          <w:szCs w:val="26"/>
        </w:rPr>
        <w:t>ống do Bộ trư</w:t>
      </w:r>
      <w:r w:rsidRPr="004B2F00">
        <w:rPr>
          <w:rFonts w:ascii="Times New Roman" w:hAnsi="Times New Roman"/>
          <w:color w:val="000000"/>
          <w:sz w:val="26"/>
          <w:szCs w:val="26"/>
        </w:rPr>
        <w:t>ởng Tài chính Mỹ Janet Yellen, Chủ tịch Cụ</w:t>
      </w:r>
      <w:r w:rsidRPr="00EB6ED7">
        <w:rPr>
          <w:rFonts w:ascii="Times New Roman" w:hAnsi="Times New Roman"/>
          <w:color w:val="000000"/>
          <w:sz w:val="26"/>
          <w:szCs w:val="26"/>
        </w:rPr>
        <w:t>c Dự trữ Liên bang</w:t>
      </w:r>
      <w:r w:rsidRPr="00EB6ED7" w:rsidDel="00C54E22">
        <w:rPr>
          <w:rFonts w:ascii="Times New Roman" w:hAnsi="Times New Roman"/>
          <w:color w:val="000000"/>
          <w:sz w:val="26"/>
          <w:szCs w:val="26"/>
        </w:rPr>
        <w:t xml:space="preserve"> </w:t>
      </w:r>
      <w:r w:rsidRPr="00EB6ED7">
        <w:rPr>
          <w:rFonts w:ascii="Times New Roman" w:hAnsi="Times New Roman"/>
          <w:color w:val="000000"/>
          <w:sz w:val="26"/>
          <w:szCs w:val="26"/>
        </w:rPr>
        <w:t xml:space="preserve">Mỹ Jerome Powell và Chủ tịch FDIC Martin Gruenberg công bố vào ngày 12/3/2023. </w:t>
      </w:r>
      <w:r w:rsidRPr="00CF2366">
        <w:rPr>
          <w:rFonts w:ascii="Times New Roman" w:hAnsi="Times New Roman"/>
          <w:color w:val="000000"/>
          <w:sz w:val="26"/>
          <w:szCs w:val="26"/>
        </w:rPr>
        <w:t xml:space="preserve">Cụ thể, các ngân hàng được hưởng lợi nhiều nhất từ việc xác định rủi ro hệ thống </w:t>
      </w:r>
      <w:r w:rsidRPr="00ED72CB">
        <w:rPr>
          <w:rFonts w:ascii="Times New Roman" w:hAnsi="Times New Roman"/>
          <w:color w:val="000000"/>
          <w:sz w:val="26"/>
          <w:szCs w:val="26"/>
        </w:rPr>
        <w:t>phải n</w:t>
      </w:r>
      <w:r w:rsidRPr="00C647F3">
        <w:rPr>
          <w:rFonts w:ascii="Times New Roman" w:hAnsi="Times New Roman"/>
          <w:color w:val="000000"/>
          <w:sz w:val="26"/>
          <w:szCs w:val="26"/>
        </w:rPr>
        <w:t>ộp phí đặ</w:t>
      </w:r>
      <w:r w:rsidRPr="00BD74B2">
        <w:rPr>
          <w:rFonts w:ascii="Times New Roman" w:hAnsi="Times New Roman"/>
          <w:color w:val="000000"/>
          <w:sz w:val="26"/>
          <w:szCs w:val="26"/>
        </w:rPr>
        <w:t>c biệt do các ngân hàng này có nhiề</w:t>
      </w:r>
      <w:r w:rsidRPr="004B2F00">
        <w:rPr>
          <w:rFonts w:ascii="Times New Roman" w:hAnsi="Times New Roman"/>
          <w:color w:val="000000"/>
          <w:sz w:val="26"/>
          <w:szCs w:val="26"/>
        </w:rPr>
        <w:t>u nguy cơ xảy ra hiện tượng rút tiền hàng lo</w:t>
      </w:r>
      <w:r w:rsidRPr="00EB6ED7">
        <w:rPr>
          <w:rFonts w:ascii="Times New Roman" w:hAnsi="Times New Roman"/>
          <w:color w:val="000000"/>
          <w:sz w:val="26"/>
          <w:szCs w:val="26"/>
        </w:rPr>
        <w:t xml:space="preserve">ạt khi xuất hiện thông tin ngân hàng gặp vấn đề. FDIC ước tính có 114 ngân hàng phải nộp phí đặc biệt, trong đó có 48 ngân hàng có tổng tài sản trên 50 tỷ USD và 66 ngân hàng có tổng tài sản từ 5 đến 50 tỷ USD. Trong khi đó, các ngân hàng có tổng tài sản dưới 5 tỷ USD không phải nộp phí đặc biệt. </w:t>
      </w:r>
    </w:p>
    <w:p w14:paraId="7761C912" w14:textId="77777777" w:rsidR="00CF2366" w:rsidRDefault="00CF2366" w:rsidP="00CF2366">
      <w:pPr>
        <w:spacing w:before="120" w:after="120" w:line="288" w:lineRule="auto"/>
        <w:ind w:firstLine="720"/>
        <w:jc w:val="both"/>
        <w:textAlignment w:val="baseline"/>
        <w:rPr>
          <w:rFonts w:ascii="Times New Roman" w:hAnsi="Times New Roman"/>
          <w:color w:val="000000"/>
          <w:sz w:val="26"/>
          <w:szCs w:val="26"/>
        </w:rPr>
      </w:pPr>
      <w:r>
        <w:rPr>
          <w:rFonts w:ascii="Times New Roman" w:eastAsia="Times New Roman" w:hAnsi="Times New Roman"/>
          <w:b/>
          <w:sz w:val="26"/>
          <w:szCs w:val="26"/>
        </w:rPr>
        <w:t xml:space="preserve">2. </w:t>
      </w:r>
      <w:r w:rsidR="00EB6ED7" w:rsidRPr="00CF2366">
        <w:rPr>
          <w:rFonts w:ascii="Times New Roman" w:eastAsia="Times New Roman" w:hAnsi="Times New Roman"/>
          <w:b/>
          <w:sz w:val="26"/>
          <w:szCs w:val="26"/>
        </w:rPr>
        <w:t>Nhật Bản</w:t>
      </w:r>
    </w:p>
    <w:p w14:paraId="29BB3354" w14:textId="7D6BB471" w:rsidR="00EB6ED7" w:rsidRPr="00CF2366" w:rsidRDefault="00EB6ED7" w:rsidP="00CF2366">
      <w:pPr>
        <w:spacing w:before="120" w:after="120" w:line="288" w:lineRule="auto"/>
        <w:ind w:firstLine="720"/>
        <w:jc w:val="both"/>
        <w:textAlignment w:val="baseline"/>
        <w:rPr>
          <w:rFonts w:ascii="Times New Roman" w:hAnsi="Times New Roman"/>
          <w:color w:val="000000"/>
          <w:sz w:val="26"/>
          <w:szCs w:val="26"/>
        </w:rPr>
      </w:pPr>
      <w:r w:rsidRPr="00CF2366">
        <w:rPr>
          <w:rFonts w:ascii="Times New Roman" w:eastAsia="Times New Roman" w:hAnsi="Times New Roman"/>
          <w:sz w:val="26"/>
          <w:szCs w:val="26"/>
        </w:rPr>
        <w:t>Trong trường hợp DICJ gặp khó khăn trong việc hoàn trả các khoản vay hoặc trong việc mua lại trái phiếu do DICJ phát hành, DICJ sẽ điều chỉnh mức phí bảo hiểm theo Nghị quyết của Hội đồng chính sách. Việc thay đổi mức phí bảo hiểm phải được Thủ tướng và Bộ trưởng Bộ Tài chính phê duyệt (Khoản 3 Điều 51 Luật BHTG).</w:t>
      </w:r>
    </w:p>
    <w:p w14:paraId="0DACF1E3" w14:textId="77777777" w:rsidR="00EB6ED7" w:rsidRPr="00C647F3" w:rsidRDefault="00EB6ED7" w:rsidP="00EB6ED7">
      <w:pPr>
        <w:spacing w:before="120" w:after="0" w:line="276" w:lineRule="auto"/>
        <w:ind w:firstLine="567"/>
        <w:jc w:val="both"/>
        <w:rPr>
          <w:rFonts w:ascii="Times New Roman" w:eastAsia="Times New Roman" w:hAnsi="Times New Roman"/>
          <w:sz w:val="26"/>
          <w:szCs w:val="26"/>
        </w:rPr>
      </w:pPr>
      <w:r w:rsidRPr="00CF2366">
        <w:rPr>
          <w:rFonts w:ascii="Times New Roman" w:eastAsia="Times New Roman" w:hAnsi="Times New Roman"/>
          <w:sz w:val="26"/>
          <w:szCs w:val="26"/>
        </w:rPr>
        <w:t>Ngoài ra, Điều 122 và Điều 126-39 Luật BHTG quy định rằng nếu có thông báo công khai về khủng hoảng tài chính được ban hành bởi Thủ tướng và Bộ trưởng Bộ Tài chính, các tổ chức tài chính phải nộp khoản đóng góp</w:t>
      </w:r>
      <w:r w:rsidRPr="00ED72CB">
        <w:rPr>
          <w:rFonts w:ascii="Times New Roman" w:eastAsia="Times New Roman" w:hAnsi="Times New Roman"/>
          <w:sz w:val="26"/>
          <w:szCs w:val="26"/>
        </w:rPr>
        <w:t>/phí BHTG (contributions/ specified contributions)</w:t>
      </w:r>
      <w:r w:rsidRPr="00EB6ED7">
        <w:rPr>
          <w:rStyle w:val="FootnoteReference"/>
          <w:rFonts w:ascii="Times New Roman" w:eastAsia="Times New Roman" w:hAnsi="Times New Roman"/>
          <w:sz w:val="26"/>
          <w:szCs w:val="26"/>
        </w:rPr>
        <w:footnoteReference w:id="17"/>
      </w:r>
      <w:r w:rsidRPr="00EB6ED7">
        <w:rPr>
          <w:rFonts w:ascii="Times New Roman" w:eastAsia="Times New Roman" w:hAnsi="Times New Roman"/>
          <w:sz w:val="26"/>
          <w:szCs w:val="26"/>
        </w:rPr>
        <w:t xml:space="preserve"> cho DICJ để chi trả chi phí cho các hoạt động quản lý khủng hoảng​. Mức đóng góp sẽ được tính toán riêng cho từng tổ chức tài chính bằng cách chia tổng dư nợ phải </w:t>
      </w:r>
      <w:r w:rsidRPr="00EB6ED7">
        <w:rPr>
          <w:rFonts w:ascii="Times New Roman" w:eastAsia="Times New Roman" w:hAnsi="Times New Roman"/>
          <w:sz w:val="26"/>
          <w:szCs w:val="26"/>
        </w:rPr>
        <w:lastRenderedPageBreak/>
        <w:t>trả vào ngày cuối cùng của năm tài chính ngay trước năm tài chính có ngày đến hạn thanh toán khoản đóng góp liên quan cho mười hai, nhân số tháng trong năm tài chính có ngày đến hạn thanh toán khoản đóng góp li</w:t>
      </w:r>
      <w:r w:rsidRPr="00ED72CB">
        <w:rPr>
          <w:rFonts w:ascii="Times New Roman" w:eastAsia="Times New Roman" w:hAnsi="Times New Roman"/>
          <w:sz w:val="26"/>
          <w:szCs w:val="26"/>
        </w:rPr>
        <w:t>ên quan, và nhân với tỷ lệ đóng góp. Tỷ lệ đóng góp và thời hạn thanh toán</w:t>
      </w:r>
      <w:r w:rsidRPr="00C647F3">
        <w:rPr>
          <w:rFonts w:ascii="Times New Roman" w:eastAsia="Times New Roman" w:hAnsi="Times New Roman"/>
          <w:sz w:val="26"/>
          <w:szCs w:val="26"/>
        </w:rPr>
        <w:t xml:space="preserve"> do Chủ tịch FSA và Bộ trưởng Bộ tài chính xác định.</w:t>
      </w:r>
    </w:p>
    <w:p w14:paraId="3EC8592C" w14:textId="6CB29D7E" w:rsidR="00EB6ED7" w:rsidRPr="00EB6ED7" w:rsidRDefault="00EB6ED7" w:rsidP="00EB6ED7">
      <w:pPr>
        <w:spacing w:before="120" w:after="0" w:line="276" w:lineRule="auto"/>
        <w:ind w:firstLine="567"/>
        <w:jc w:val="both"/>
        <w:rPr>
          <w:rFonts w:ascii="Times New Roman" w:eastAsia="Times New Roman" w:hAnsi="Times New Roman"/>
          <w:sz w:val="26"/>
          <w:szCs w:val="26"/>
        </w:rPr>
      </w:pPr>
      <w:r w:rsidRPr="00BD74B2">
        <w:rPr>
          <w:rFonts w:ascii="Times New Roman" w:eastAsia="Times New Roman" w:hAnsi="Times New Roman"/>
          <w:sz w:val="26"/>
          <w:szCs w:val="26"/>
        </w:rPr>
        <w:t>Sau mỗi năm tài chính, DICJ phải báo cáo tình hình thu chi của tài khoản quản lý khủng hoảng</w:t>
      </w:r>
      <w:r w:rsidRPr="00EB6ED7">
        <w:rPr>
          <w:rStyle w:val="FootnoteReference"/>
          <w:rFonts w:ascii="Times New Roman" w:eastAsia="Times New Roman" w:hAnsi="Times New Roman"/>
          <w:sz w:val="26"/>
          <w:szCs w:val="26"/>
        </w:rPr>
        <w:footnoteReference w:id="18"/>
      </w:r>
      <w:r w:rsidRPr="00EB6ED7">
        <w:rPr>
          <w:rFonts w:ascii="Times New Roman" w:eastAsia="Times New Roman" w:hAnsi="Times New Roman"/>
          <w:sz w:val="26"/>
          <w:szCs w:val="26"/>
        </w:rPr>
        <w:t xml:space="preserve"> cho Thủ tướng và Bộ trưởng Tài chính. Nếu cần, mức đóng góp của tổ chức tài chính sẽ được điều chỉnh để đảm bảo đủ</w:t>
      </w:r>
      <w:r w:rsidR="00CF2366">
        <w:rPr>
          <w:rFonts w:ascii="Times New Roman" w:eastAsia="Times New Roman" w:hAnsi="Times New Roman"/>
          <w:sz w:val="26"/>
          <w:szCs w:val="26"/>
        </w:rPr>
        <w:t xml:space="preserve"> DICJ có đủ nguồn lực tài chính</w:t>
      </w:r>
      <w:r w:rsidRPr="00EB6ED7">
        <w:rPr>
          <w:rFonts w:ascii="Times New Roman" w:hAnsi="Times New Roman"/>
          <w:sz w:val="26"/>
          <w:szCs w:val="26"/>
        </w:rPr>
        <w:t xml:space="preserve"> </w:t>
      </w:r>
      <w:r w:rsidRPr="00EB6ED7">
        <w:rPr>
          <w:rFonts w:ascii="Times New Roman" w:eastAsia="Times New Roman" w:hAnsi="Times New Roman"/>
          <w:sz w:val="26"/>
          <w:szCs w:val="26"/>
        </w:rPr>
        <w:t>bù đắp tổn thất của tài khoản quản lý khủng hoảng và duy trì sự ổn định hệ thống tài chính.</w:t>
      </w:r>
    </w:p>
    <w:p w14:paraId="08923B9C" w14:textId="77777777" w:rsidR="00ED72CB" w:rsidRDefault="00EB6ED7" w:rsidP="00ED72CB">
      <w:pPr>
        <w:spacing w:before="120" w:after="0" w:line="276" w:lineRule="auto"/>
        <w:ind w:firstLine="567"/>
        <w:jc w:val="both"/>
        <w:rPr>
          <w:rFonts w:ascii="Times New Roman" w:hAnsi="Times New Roman"/>
          <w:sz w:val="26"/>
          <w:szCs w:val="26"/>
        </w:rPr>
      </w:pPr>
      <w:r w:rsidRPr="00CF2366">
        <w:rPr>
          <w:rFonts w:ascii="Times New Roman" w:hAnsi="Times New Roman"/>
          <w:sz w:val="26"/>
          <w:szCs w:val="26"/>
        </w:rPr>
        <w:t>Trên thự</w:t>
      </w:r>
      <w:r w:rsidRPr="00ED72CB">
        <w:rPr>
          <w:rFonts w:ascii="Times New Roman" w:hAnsi="Times New Roman"/>
          <w:sz w:val="26"/>
          <w:szCs w:val="26"/>
        </w:rPr>
        <w:t>c tế, DICJ đã từng tăng phí và thu phí đặc biệt. Cụ thể, trong bối cảnh khủng hoảng tài chính, từ năm 1996, DICJ đã hỗ trợ tài chính tổng cộng gần 19 nghìn tỷ Yen để bảo vệ toàn b</w:t>
      </w:r>
      <w:r w:rsidRPr="00C647F3">
        <w:rPr>
          <w:rFonts w:ascii="Times New Roman" w:hAnsi="Times New Roman"/>
          <w:sz w:val="26"/>
          <w:szCs w:val="26"/>
        </w:rPr>
        <w:t>ộ ti</w:t>
      </w:r>
      <w:r w:rsidRPr="00BD74B2">
        <w:rPr>
          <w:rFonts w:ascii="Times New Roman" w:hAnsi="Times New Roman"/>
          <w:sz w:val="26"/>
          <w:szCs w:val="26"/>
        </w:rPr>
        <w:t>ề</w:t>
      </w:r>
      <w:r w:rsidRPr="004B2F00">
        <w:rPr>
          <w:rFonts w:ascii="Times New Roman" w:hAnsi="Times New Roman"/>
          <w:sz w:val="26"/>
          <w:szCs w:val="26"/>
        </w:rPr>
        <w:t>n gửi đối nhằm phó với tình trạng phá s</w:t>
      </w:r>
      <w:r w:rsidRPr="00EB6ED7">
        <w:rPr>
          <w:rFonts w:ascii="Times New Roman" w:hAnsi="Times New Roman"/>
          <w:sz w:val="26"/>
          <w:szCs w:val="26"/>
        </w:rPr>
        <w:t>ản liên tục của các tổ chức tài chính. Trước tình hình đó, vào năm 1996, DICJ đã tăng tỷ lệ phí BHTG từ 0,012% lên 0,048% đồng thời áp dụng thêm một mức phí BHTG đặc biệt (với tỷ lệ 0,036%) dẫn tới tỷ lệ phí bảo hiểm thực tế lên tới 0,084%. Tỷ lệ phí thực tế này giữ nguyên cho đến năm 2014 và giảm dần qua các năm cho đến nay</w:t>
      </w:r>
      <w:r w:rsidR="00ED72CB">
        <w:rPr>
          <w:rFonts w:ascii="Times New Roman" w:hAnsi="Times New Roman"/>
          <w:sz w:val="26"/>
          <w:szCs w:val="26"/>
        </w:rPr>
        <w:t>.</w:t>
      </w:r>
    </w:p>
    <w:p w14:paraId="6F0B4993" w14:textId="0945864E" w:rsidR="00EB6ED7" w:rsidRPr="00ED72CB" w:rsidRDefault="00ED72CB" w:rsidP="00ED72CB">
      <w:pPr>
        <w:spacing w:before="120" w:after="0" w:line="276" w:lineRule="auto"/>
        <w:ind w:firstLine="567"/>
        <w:jc w:val="both"/>
        <w:rPr>
          <w:rFonts w:ascii="Times New Roman" w:hAnsi="Times New Roman"/>
          <w:sz w:val="26"/>
          <w:szCs w:val="26"/>
        </w:rPr>
      </w:pPr>
      <w:r w:rsidRPr="00ED72CB">
        <w:rPr>
          <w:rFonts w:ascii="Times New Roman" w:hAnsi="Times New Roman"/>
          <w:b/>
          <w:sz w:val="26"/>
          <w:szCs w:val="26"/>
        </w:rPr>
        <w:t>3.</w:t>
      </w:r>
      <w:r>
        <w:rPr>
          <w:rFonts w:ascii="Times New Roman" w:hAnsi="Times New Roman"/>
          <w:sz w:val="26"/>
          <w:szCs w:val="26"/>
        </w:rPr>
        <w:t xml:space="preserve"> </w:t>
      </w:r>
      <w:r w:rsidR="00EB6ED7" w:rsidRPr="00ED72CB">
        <w:rPr>
          <w:rFonts w:ascii="Times New Roman" w:hAnsi="Times New Roman"/>
          <w:b/>
          <w:sz w:val="26"/>
          <w:szCs w:val="26"/>
        </w:rPr>
        <w:t>Hàn Quốc</w:t>
      </w:r>
    </w:p>
    <w:p w14:paraId="1F12730E" w14:textId="77777777" w:rsidR="00EB6ED7" w:rsidRPr="00BD74B2" w:rsidRDefault="00EB6ED7" w:rsidP="00EB6ED7">
      <w:pPr>
        <w:spacing w:before="120" w:after="0" w:line="276" w:lineRule="auto"/>
        <w:ind w:firstLine="567"/>
        <w:jc w:val="both"/>
        <w:rPr>
          <w:rFonts w:ascii="Times New Roman" w:hAnsi="Times New Roman"/>
          <w:sz w:val="26"/>
          <w:szCs w:val="26"/>
        </w:rPr>
      </w:pPr>
      <w:r w:rsidRPr="00ED72CB">
        <w:rPr>
          <w:rFonts w:ascii="Times New Roman" w:hAnsi="Times New Roman"/>
          <w:sz w:val="26"/>
          <w:szCs w:val="26"/>
        </w:rPr>
        <w:t>Phí đặc biệt là khoản tiền mà các TCTC bắt buộc phải đóng góp định kỳ hàng năm theo quy định của pháp luật. Phí BHTG đặc biệt nhằm mục đích hoàn trả nợ từ việc phát hành trái phiếu Quỹ</w:t>
      </w:r>
      <w:r w:rsidRPr="00C647F3">
        <w:rPr>
          <w:rFonts w:ascii="Times New Roman" w:hAnsi="Times New Roman"/>
          <w:sz w:val="26"/>
          <w:szCs w:val="26"/>
        </w:rPr>
        <w:t xml:space="preserve"> BHTG và đượ</w:t>
      </w:r>
      <w:r w:rsidRPr="00BD74B2">
        <w:rPr>
          <w:rFonts w:ascii="Times New Roman" w:hAnsi="Times New Roman"/>
          <w:sz w:val="26"/>
          <w:szCs w:val="26"/>
        </w:rPr>
        <w:t>c thu trong vòng 25 năm (2003~2027).</w:t>
      </w:r>
    </w:p>
    <w:p w14:paraId="21D4B43C" w14:textId="77777777" w:rsidR="00EB6ED7" w:rsidRPr="00EB6ED7" w:rsidRDefault="00EB6ED7" w:rsidP="00EB6ED7">
      <w:pPr>
        <w:spacing w:before="120" w:after="0" w:line="276" w:lineRule="auto"/>
        <w:ind w:firstLine="567"/>
        <w:jc w:val="both"/>
        <w:rPr>
          <w:rFonts w:ascii="Times New Roman" w:hAnsi="Times New Roman"/>
          <w:sz w:val="26"/>
          <w:szCs w:val="26"/>
        </w:rPr>
      </w:pPr>
      <w:r w:rsidRPr="004B2F00">
        <w:rPr>
          <w:rFonts w:ascii="Times New Roman" w:hAnsi="Times New Roman"/>
          <w:sz w:val="26"/>
          <w:szCs w:val="26"/>
        </w:rPr>
        <w:t>Việc thu phí đặc biệt của Tổng công ty BHTG Hàn Qu</w:t>
      </w:r>
      <w:r w:rsidRPr="00EB6ED7">
        <w:rPr>
          <w:rFonts w:ascii="Times New Roman" w:hAnsi="Times New Roman"/>
          <w:sz w:val="26"/>
          <w:szCs w:val="26"/>
        </w:rPr>
        <w:t>ốc được quy định tại Luật Bảo vệ người gửi tiền và Sắc lệnh thi hành Luật bảo vệ người gửi tiền. Cụ thể:</w:t>
      </w:r>
    </w:p>
    <w:p w14:paraId="78131498" w14:textId="77777777" w:rsidR="00EB6ED7" w:rsidRPr="00EB6ED7" w:rsidRDefault="00EB6ED7" w:rsidP="00EB6ED7">
      <w:pPr>
        <w:spacing w:before="120" w:after="0" w:line="276" w:lineRule="auto"/>
        <w:ind w:firstLine="567"/>
        <w:jc w:val="both"/>
        <w:rPr>
          <w:rFonts w:ascii="Times New Roman" w:hAnsi="Times New Roman"/>
          <w:sz w:val="26"/>
          <w:szCs w:val="26"/>
        </w:rPr>
      </w:pPr>
      <w:r w:rsidRPr="00EB6ED7">
        <w:rPr>
          <w:rFonts w:ascii="Times New Roman" w:hAnsi="Times New Roman"/>
          <w:sz w:val="26"/>
          <w:szCs w:val="26"/>
        </w:rPr>
        <w:t>- Theo</w:t>
      </w:r>
      <w:r w:rsidRPr="00EB6ED7">
        <w:rPr>
          <w:rFonts w:ascii="Times New Roman" w:hAnsi="Times New Roman"/>
          <w:bCs/>
          <w:sz w:val="26"/>
          <w:szCs w:val="26"/>
        </w:rPr>
        <w:t xml:space="preserve"> Luật Bảo vệ Người gửi tiền</w:t>
      </w:r>
      <w:r w:rsidRPr="00EB6ED7">
        <w:rPr>
          <w:rFonts w:ascii="Times New Roman" w:hAnsi="Times New Roman"/>
          <w:sz w:val="26"/>
          <w:szCs w:val="26"/>
        </w:rPr>
        <w:t>: Điều 30-3 (Đóng góp đặc biệt để mua lại trái phiếu Quỹ BHTG)</w:t>
      </w:r>
      <w:r w:rsidRPr="00EB6ED7">
        <w:rPr>
          <w:rFonts w:ascii="Times New Roman" w:hAnsi="Times New Roman"/>
          <w:bCs/>
          <w:sz w:val="26"/>
          <w:szCs w:val="26"/>
        </w:rPr>
        <w:t>:</w:t>
      </w:r>
      <w:r w:rsidRPr="00EB6ED7">
        <w:rPr>
          <w:rFonts w:ascii="Times New Roman" w:hAnsi="Times New Roman"/>
          <w:bCs/>
          <w:i/>
          <w:sz w:val="26"/>
          <w:szCs w:val="26"/>
        </w:rPr>
        <w:t xml:space="preserve"> “</w:t>
      </w:r>
      <w:r w:rsidRPr="00EB6ED7">
        <w:rPr>
          <w:rFonts w:ascii="Times New Roman" w:hAnsi="Times New Roman"/>
          <w:i/>
          <w:sz w:val="26"/>
          <w:szCs w:val="26"/>
        </w:rPr>
        <w:t>(1) Các công ty tài chính được bảo hiểm sẽ phải nộp khoản đóng góp đặc biệt hàng năm cho KDIC với số tiền (…) được tính bằng cách nhân tổng dư nợ tiền gửi ... hàng năm với tỷ lệ được quy định trong Sắc lệnh của Tổng thống …</w:t>
      </w:r>
      <w:r w:rsidRPr="00EB6ED7">
        <w:rPr>
          <w:rFonts w:ascii="Times New Roman" w:hAnsi="Times New Roman"/>
          <w:sz w:val="26"/>
          <w:szCs w:val="26"/>
        </w:rPr>
        <w:t>”</w:t>
      </w:r>
    </w:p>
    <w:p w14:paraId="0F0A1145" w14:textId="77777777" w:rsidR="00EB6ED7" w:rsidRPr="00EB6ED7" w:rsidRDefault="00EB6ED7" w:rsidP="00EB6ED7">
      <w:pPr>
        <w:spacing w:before="120" w:after="0" w:line="276" w:lineRule="auto"/>
        <w:ind w:firstLine="567"/>
        <w:jc w:val="both"/>
        <w:rPr>
          <w:rFonts w:ascii="Times New Roman" w:hAnsi="Times New Roman"/>
          <w:sz w:val="26"/>
          <w:szCs w:val="26"/>
        </w:rPr>
      </w:pPr>
      <w:r w:rsidRPr="00EB6ED7">
        <w:rPr>
          <w:rFonts w:ascii="Times New Roman" w:hAnsi="Times New Roman"/>
          <w:sz w:val="26"/>
          <w:szCs w:val="26"/>
        </w:rPr>
        <w:t>- Theo</w:t>
      </w:r>
      <w:r w:rsidRPr="00EB6ED7">
        <w:rPr>
          <w:rFonts w:ascii="Times New Roman" w:hAnsi="Times New Roman"/>
          <w:bCs/>
          <w:sz w:val="26"/>
          <w:szCs w:val="26"/>
        </w:rPr>
        <w:t xml:space="preserve"> </w:t>
      </w:r>
      <w:r w:rsidRPr="00EB6ED7">
        <w:rPr>
          <w:rFonts w:ascii="Times New Roman" w:hAnsi="Times New Roman"/>
          <w:sz w:val="26"/>
          <w:szCs w:val="26"/>
        </w:rPr>
        <w:t xml:space="preserve">Sắc lệnh Thi hành Luật Bảo vệ Người gửi tiền: Điều 16-4 (Nộp các khoản đóng góp đặc biệt để mua lại trái phiếu Quỹ BHTG): </w:t>
      </w:r>
    </w:p>
    <w:p w14:paraId="104535E6" w14:textId="77777777" w:rsidR="00EB6ED7" w:rsidRPr="00EB6ED7" w:rsidRDefault="00EB6ED7" w:rsidP="00EB6ED7">
      <w:pPr>
        <w:spacing w:before="120" w:after="0" w:line="276" w:lineRule="auto"/>
        <w:ind w:firstLine="567"/>
        <w:jc w:val="both"/>
        <w:rPr>
          <w:rFonts w:ascii="Times New Roman" w:hAnsi="Times New Roman"/>
          <w:i/>
          <w:sz w:val="26"/>
          <w:szCs w:val="26"/>
        </w:rPr>
      </w:pPr>
      <w:r w:rsidRPr="00EB6ED7">
        <w:rPr>
          <w:rFonts w:ascii="Times New Roman" w:hAnsi="Times New Roman"/>
          <w:i/>
          <w:sz w:val="26"/>
          <w:szCs w:val="26"/>
        </w:rPr>
        <w:t>“(1) Mỗi công ty tài chính được bảo hiểm phải nộp các khoản đóng góp đặc biệt cho KDIC để mua lại trái phiếu Quỹ BHTG …”</w:t>
      </w:r>
    </w:p>
    <w:p w14:paraId="4A316403" w14:textId="77777777" w:rsidR="00EB6ED7" w:rsidRPr="00EB6ED7" w:rsidRDefault="00EB6ED7" w:rsidP="00EB6ED7">
      <w:pPr>
        <w:spacing w:before="120" w:after="0" w:line="276" w:lineRule="auto"/>
        <w:ind w:firstLine="567"/>
        <w:jc w:val="both"/>
        <w:rPr>
          <w:rFonts w:ascii="Times New Roman" w:hAnsi="Times New Roman"/>
          <w:i/>
          <w:sz w:val="26"/>
          <w:szCs w:val="26"/>
        </w:rPr>
      </w:pPr>
      <w:r w:rsidRPr="00EB6ED7">
        <w:rPr>
          <w:rFonts w:ascii="Times New Roman" w:hAnsi="Times New Roman"/>
          <w:i/>
          <w:sz w:val="26"/>
          <w:szCs w:val="26"/>
        </w:rPr>
        <w:t>“(4) KDIC quyết định các vấn đề liên quan đến quy trình nộp các khoản đóng góp đặc biệt … và thông báo công khai về những điều này trên trang web của mình”</w:t>
      </w:r>
    </w:p>
    <w:p w14:paraId="63D6AE6A" w14:textId="77777777" w:rsidR="00EB6ED7" w:rsidRPr="00EB6ED7" w:rsidRDefault="00EB6ED7" w:rsidP="00EB6ED7">
      <w:pPr>
        <w:spacing w:before="120" w:after="0" w:line="276" w:lineRule="auto"/>
        <w:ind w:firstLine="567"/>
        <w:jc w:val="both"/>
        <w:rPr>
          <w:rFonts w:ascii="Times New Roman" w:hAnsi="Times New Roman"/>
          <w:sz w:val="26"/>
          <w:szCs w:val="26"/>
        </w:rPr>
      </w:pPr>
      <w:r w:rsidRPr="00EB6ED7">
        <w:rPr>
          <w:rFonts w:ascii="Times New Roman" w:hAnsi="Times New Roman"/>
          <w:sz w:val="26"/>
          <w:szCs w:val="26"/>
        </w:rPr>
        <w:lastRenderedPageBreak/>
        <w:t>Các TCTGBHTG phải nộp phí đặc biệt tương đương với 0,1% tổng dư nợ tiền gửi (trừ các công ty bảo hiểm dựa trên một nửa tổng doanh thu từ phí và dự phòng chi trả).</w:t>
      </w:r>
    </w:p>
    <w:p w14:paraId="3DEE04DB" w14:textId="76368F56" w:rsidR="00EB6ED7" w:rsidRPr="00ED72CB" w:rsidRDefault="00ED72CB" w:rsidP="00ED72CB">
      <w:pPr>
        <w:spacing w:before="120" w:after="0" w:line="276" w:lineRule="auto"/>
        <w:ind w:left="567"/>
        <w:jc w:val="both"/>
        <w:rPr>
          <w:rFonts w:ascii="Times New Roman" w:hAnsi="Times New Roman"/>
          <w:b/>
          <w:sz w:val="26"/>
          <w:szCs w:val="26"/>
        </w:rPr>
      </w:pPr>
      <w:r>
        <w:rPr>
          <w:rFonts w:ascii="Times New Roman" w:hAnsi="Times New Roman"/>
          <w:b/>
          <w:sz w:val="26"/>
          <w:szCs w:val="26"/>
        </w:rPr>
        <w:t xml:space="preserve">4. </w:t>
      </w:r>
      <w:r w:rsidR="00EB6ED7" w:rsidRPr="00ED72CB">
        <w:rPr>
          <w:rFonts w:ascii="Times New Roman" w:hAnsi="Times New Roman"/>
          <w:b/>
          <w:sz w:val="26"/>
          <w:szCs w:val="26"/>
        </w:rPr>
        <w:t>Châu Âu</w:t>
      </w:r>
    </w:p>
    <w:p w14:paraId="6F3D120F" w14:textId="77777777" w:rsidR="00EB6ED7" w:rsidRDefault="00EB6ED7" w:rsidP="00EB6ED7">
      <w:pPr>
        <w:spacing w:before="120" w:after="0" w:line="276" w:lineRule="auto"/>
        <w:ind w:firstLine="567"/>
        <w:jc w:val="both"/>
        <w:rPr>
          <w:rFonts w:ascii="Times New Roman" w:hAnsi="Times New Roman"/>
          <w:sz w:val="26"/>
          <w:szCs w:val="26"/>
        </w:rPr>
      </w:pPr>
      <w:r w:rsidRPr="00ED72CB">
        <w:rPr>
          <w:rFonts w:ascii="Times New Roman" w:hAnsi="Times New Roman"/>
          <w:sz w:val="26"/>
          <w:szCs w:val="26"/>
        </w:rPr>
        <w:t>Nếu một tổ chức BHTG không có đủ nguồn tài chính để hoàn trả tiền gửi cho người gửi tiền, tổ chức BHTG đó có thể yêu cầu các ngân hàng thành viên đóng phí đặc biệt. Mức phí này có th</w:t>
      </w:r>
      <w:r w:rsidRPr="00C647F3">
        <w:rPr>
          <w:rFonts w:ascii="Times New Roman" w:hAnsi="Times New Roman"/>
          <w:sz w:val="26"/>
          <w:szCs w:val="26"/>
        </w:rPr>
        <w:t>ể lên đ</w:t>
      </w:r>
      <w:r w:rsidRPr="00BD74B2">
        <w:rPr>
          <w:rFonts w:ascii="Times New Roman" w:hAnsi="Times New Roman"/>
          <w:sz w:val="26"/>
          <w:szCs w:val="26"/>
        </w:rPr>
        <w:t>ế</w:t>
      </w:r>
      <w:r w:rsidRPr="004B2F00">
        <w:rPr>
          <w:rFonts w:ascii="Times New Roman" w:hAnsi="Times New Roman"/>
          <w:sz w:val="26"/>
          <w:szCs w:val="26"/>
        </w:rPr>
        <w:t>n tối đa 0,5% tổng số tiền gửi đư</w:t>
      </w:r>
      <w:r w:rsidRPr="00EB6ED7">
        <w:rPr>
          <w:rFonts w:ascii="Times New Roman" w:hAnsi="Times New Roman"/>
          <w:sz w:val="26"/>
          <w:szCs w:val="26"/>
        </w:rPr>
        <w:t>ợc bảo hiểm mỗi năm, và có thể vượt mức đó trong trường hợp đặc biệt nếu được cơ quan giám sát chấp thuận. Nếu việc đóng phí ảnh hưởng đến thanh khoản hoặc khả năng thanh toán của ngân hàng, tổ chức BHTG có thể trì hoãn khoản đóng phí đó tối đa 6 tháng, và có thể gia hạn nếu cần thiết.</w:t>
      </w:r>
    </w:p>
    <w:p w14:paraId="0B24E16D" w14:textId="1525825E" w:rsidR="00EB6ED7" w:rsidRPr="00ED72CB" w:rsidRDefault="00ED72CB" w:rsidP="00ED72CB">
      <w:pPr>
        <w:spacing w:before="120" w:after="0" w:line="276" w:lineRule="auto"/>
        <w:ind w:firstLine="567"/>
        <w:jc w:val="center"/>
        <w:rPr>
          <w:rFonts w:ascii="Times New Roman" w:hAnsi="Times New Roman"/>
          <w:b/>
          <w:sz w:val="26"/>
          <w:szCs w:val="26"/>
        </w:rPr>
      </w:pPr>
      <w:r w:rsidRPr="00ED72CB">
        <w:rPr>
          <w:rFonts w:ascii="Times New Roman" w:hAnsi="Times New Roman"/>
          <w:b/>
          <w:sz w:val="26"/>
          <w:szCs w:val="26"/>
        </w:rPr>
        <w:t xml:space="preserve">E. </w:t>
      </w:r>
      <w:r>
        <w:rPr>
          <w:rFonts w:ascii="Times New Roman" w:hAnsi="Times New Roman"/>
          <w:b/>
          <w:sz w:val="26"/>
          <w:szCs w:val="26"/>
        </w:rPr>
        <w:t>HOẠT ĐỘNG</w:t>
      </w:r>
      <w:r w:rsidRPr="00ED72CB">
        <w:rPr>
          <w:rFonts w:ascii="Times New Roman" w:hAnsi="Times New Roman"/>
          <w:b/>
          <w:sz w:val="26"/>
          <w:szCs w:val="26"/>
        </w:rPr>
        <w:t xml:space="preserve"> KIỂM TRA CỦA </w:t>
      </w:r>
      <w:r>
        <w:rPr>
          <w:rFonts w:ascii="Times New Roman" w:hAnsi="Times New Roman"/>
          <w:b/>
          <w:sz w:val="26"/>
          <w:szCs w:val="26"/>
        </w:rPr>
        <w:t xml:space="preserve">TỔ CHỨC </w:t>
      </w:r>
      <w:r w:rsidRPr="00ED72CB">
        <w:rPr>
          <w:rFonts w:ascii="Times New Roman" w:hAnsi="Times New Roman"/>
          <w:b/>
          <w:sz w:val="26"/>
          <w:szCs w:val="26"/>
        </w:rPr>
        <w:t>BẢO HIỂM TIỀN GỬI</w:t>
      </w:r>
    </w:p>
    <w:p w14:paraId="0A374F7E" w14:textId="6E6C978B" w:rsidR="00ED72CB" w:rsidRPr="00ED72CB" w:rsidRDefault="004B2F00" w:rsidP="00ED72CB">
      <w:pPr>
        <w:pStyle w:val="Heading3"/>
        <w:ind w:firstLine="709"/>
        <w:jc w:val="both"/>
        <w:rPr>
          <w:rFonts w:ascii="Times New Roman" w:eastAsia="Calibri" w:hAnsi="Times New Roman"/>
          <w:iCs/>
          <w:lang w:eastAsia="zh-CN"/>
        </w:rPr>
      </w:pPr>
      <w:r>
        <w:rPr>
          <w:rFonts w:ascii="Times New Roman" w:hAnsi="Times New Roman"/>
        </w:rPr>
        <w:t>I</w:t>
      </w:r>
      <w:r w:rsidR="00ED72CB" w:rsidRPr="00ED72CB">
        <w:rPr>
          <w:rFonts w:ascii="Times New Roman" w:hAnsi="Times New Roman"/>
        </w:rPr>
        <w:t xml:space="preserve">. Thẩm quyền </w:t>
      </w:r>
      <w:r w:rsidR="00ED72CB" w:rsidRPr="00ED72CB">
        <w:rPr>
          <w:rFonts w:ascii="Times New Roman" w:eastAsia="Calibri" w:hAnsi="Times New Roman"/>
          <w:lang w:eastAsia="zh-CN"/>
        </w:rPr>
        <w:t>tiến hành kiểm tra</w:t>
      </w:r>
    </w:p>
    <w:p w14:paraId="06F141BC" w14:textId="77777777" w:rsidR="00ED72CB" w:rsidRPr="00D601C9" w:rsidRDefault="00ED72CB" w:rsidP="00ED72CB">
      <w:pPr>
        <w:spacing w:after="120" w:line="276" w:lineRule="auto"/>
        <w:ind w:firstLine="720"/>
        <w:jc w:val="both"/>
        <w:rPr>
          <w:rFonts w:ascii="Times New Roman" w:eastAsia="Calibri" w:hAnsi="Times New Roman" w:cs="Times New Roman"/>
          <w:color w:val="000000"/>
          <w:sz w:val="28"/>
          <w:szCs w:val="28"/>
          <w:lang w:eastAsia="zh-CN"/>
        </w:rPr>
      </w:pPr>
      <w:r w:rsidRPr="00D601C9">
        <w:rPr>
          <w:rFonts w:ascii="Times New Roman" w:eastAsia="Calibri" w:hAnsi="Times New Roman" w:cs="Times New Roman"/>
          <w:color w:val="000000"/>
          <w:sz w:val="28"/>
          <w:szCs w:val="28"/>
          <w:lang w:eastAsia="zh-CN"/>
        </w:rPr>
        <w:t>Tùy theo quy định pháp luật và mô hình hoạt động tại mỗi quốc gia, tổ chức BHTG có thể thực hiện kiểm tra các tổ chức tham gia BHTG theo các hình thức: tự kiểm tra độc lập, phối hợp kiểm tra cùng cơ quan có thẩm quyền, hoặc thực hiện kiểm tra khi được giao /ủy quyền của cơ quan có thẩm quyền. Ngoài ra, tại một số quốc gia tổ chức BHTG không trực tiếp tiến hành kiểm tra mà thay vào đó nhận thông tin và kết quả kiểm tra từ các cơ quan quản lý tài chính.</w:t>
      </w:r>
    </w:p>
    <w:tbl>
      <w:tblPr>
        <w:tblStyle w:val="TableGrid"/>
        <w:tblW w:w="9640" w:type="dxa"/>
        <w:jc w:val="center"/>
        <w:tblLook w:val="04A0" w:firstRow="1" w:lastRow="0" w:firstColumn="1" w:lastColumn="0" w:noHBand="0" w:noVBand="1"/>
      </w:tblPr>
      <w:tblGrid>
        <w:gridCol w:w="709"/>
        <w:gridCol w:w="1843"/>
        <w:gridCol w:w="1319"/>
        <w:gridCol w:w="1233"/>
        <w:gridCol w:w="1275"/>
        <w:gridCol w:w="3261"/>
      </w:tblGrid>
      <w:tr w:rsidR="00ED72CB" w:rsidRPr="00D601C9" w14:paraId="4BF4C515" w14:textId="77777777" w:rsidTr="00ED72CB">
        <w:trPr>
          <w:trHeight w:val="965"/>
          <w:tblHeader/>
          <w:jc w:val="center"/>
        </w:trPr>
        <w:tc>
          <w:tcPr>
            <w:tcW w:w="709" w:type="dxa"/>
            <w:vAlign w:val="center"/>
          </w:tcPr>
          <w:p w14:paraId="70737C2C" w14:textId="77777777" w:rsidR="00ED72CB" w:rsidRPr="00D601C9" w:rsidRDefault="00ED72CB" w:rsidP="00ED72CB">
            <w:pPr>
              <w:spacing w:after="120" w:line="276" w:lineRule="auto"/>
              <w:jc w:val="center"/>
              <w:rPr>
                <w:rFonts w:ascii="Times New Roman" w:eastAsia="SimSun" w:hAnsi="Times New Roman" w:cs="Times New Roman"/>
                <w:iCs/>
                <w:sz w:val="24"/>
                <w:szCs w:val="24"/>
              </w:rPr>
            </w:pPr>
            <w:r w:rsidRPr="00D601C9">
              <w:rPr>
                <w:rFonts w:ascii="Times New Roman" w:eastAsia="Calibri" w:hAnsi="Times New Roman" w:cs="Times New Roman"/>
                <w:color w:val="000000"/>
                <w:sz w:val="24"/>
                <w:szCs w:val="24"/>
                <w:lang w:eastAsia="zh-CN"/>
              </w:rPr>
              <w:t>STT</w:t>
            </w:r>
          </w:p>
        </w:tc>
        <w:tc>
          <w:tcPr>
            <w:tcW w:w="1843" w:type="dxa"/>
            <w:vAlign w:val="center"/>
          </w:tcPr>
          <w:p w14:paraId="196F8AA4" w14:textId="77777777" w:rsidR="00ED72CB" w:rsidRPr="00D601C9" w:rsidRDefault="00ED72CB" w:rsidP="00ED72CB">
            <w:pPr>
              <w:spacing w:after="120" w:line="276" w:lineRule="auto"/>
              <w:jc w:val="center"/>
              <w:rPr>
                <w:rFonts w:ascii="Times New Roman" w:eastAsia="SimSun" w:hAnsi="Times New Roman" w:cs="Times New Roman"/>
                <w:iCs/>
                <w:sz w:val="24"/>
                <w:szCs w:val="24"/>
              </w:rPr>
            </w:pPr>
            <w:r w:rsidRPr="00D601C9">
              <w:rPr>
                <w:rFonts w:ascii="Times New Roman" w:eastAsia="Calibri" w:hAnsi="Times New Roman" w:cs="Times New Roman"/>
                <w:color w:val="000000"/>
                <w:sz w:val="24"/>
                <w:szCs w:val="24"/>
                <w:lang w:eastAsia="zh-CN"/>
              </w:rPr>
              <w:t>Tổ chức BHTG</w:t>
            </w:r>
          </w:p>
        </w:tc>
        <w:tc>
          <w:tcPr>
            <w:tcW w:w="1319" w:type="dxa"/>
            <w:vAlign w:val="center"/>
          </w:tcPr>
          <w:p w14:paraId="6726635B" w14:textId="77777777" w:rsidR="00ED72CB" w:rsidRPr="00D601C9" w:rsidRDefault="00ED72CB" w:rsidP="00ED72CB">
            <w:pPr>
              <w:spacing w:after="120" w:line="276" w:lineRule="auto"/>
              <w:jc w:val="center"/>
              <w:rPr>
                <w:rFonts w:ascii="Times New Roman" w:eastAsia="Calibri" w:hAnsi="Times New Roman" w:cs="Times New Roman"/>
                <w:color w:val="000000"/>
                <w:sz w:val="24"/>
                <w:szCs w:val="24"/>
                <w:lang w:eastAsia="zh-CN"/>
              </w:rPr>
            </w:pPr>
            <w:r w:rsidRPr="00D601C9">
              <w:rPr>
                <w:rFonts w:ascii="Times New Roman" w:eastAsia="Calibri" w:hAnsi="Times New Roman" w:cs="Times New Roman"/>
                <w:color w:val="000000"/>
                <w:sz w:val="24"/>
                <w:szCs w:val="24"/>
                <w:lang w:eastAsia="zh-CN"/>
              </w:rPr>
              <w:t>Kiểm tra độc lập</w:t>
            </w:r>
          </w:p>
        </w:tc>
        <w:tc>
          <w:tcPr>
            <w:tcW w:w="1233" w:type="dxa"/>
            <w:vAlign w:val="center"/>
          </w:tcPr>
          <w:p w14:paraId="46BE9996" w14:textId="77777777" w:rsidR="00ED72CB" w:rsidRPr="00D601C9" w:rsidRDefault="00ED72CB" w:rsidP="00ED72CB">
            <w:pPr>
              <w:spacing w:after="120" w:line="276" w:lineRule="auto"/>
              <w:jc w:val="center"/>
              <w:rPr>
                <w:rFonts w:ascii="Times New Roman" w:eastAsia="Calibri" w:hAnsi="Times New Roman" w:cs="Times New Roman"/>
                <w:color w:val="000000"/>
                <w:sz w:val="24"/>
                <w:szCs w:val="24"/>
                <w:lang w:eastAsia="zh-CN"/>
              </w:rPr>
            </w:pPr>
            <w:r w:rsidRPr="00D601C9">
              <w:rPr>
                <w:rFonts w:ascii="Times New Roman" w:eastAsia="Calibri" w:hAnsi="Times New Roman" w:cs="Times New Roman"/>
                <w:color w:val="000000"/>
                <w:sz w:val="24"/>
                <w:szCs w:val="24"/>
                <w:lang w:eastAsia="zh-CN"/>
              </w:rPr>
              <w:t>Phối hợp kiểm tra</w:t>
            </w:r>
          </w:p>
        </w:tc>
        <w:tc>
          <w:tcPr>
            <w:tcW w:w="1275" w:type="dxa"/>
            <w:vAlign w:val="center"/>
          </w:tcPr>
          <w:p w14:paraId="1916EF2E" w14:textId="77777777" w:rsidR="00ED72CB" w:rsidRPr="00D601C9" w:rsidRDefault="00ED72CB" w:rsidP="00ED72CB">
            <w:pPr>
              <w:spacing w:after="120" w:line="276" w:lineRule="auto"/>
              <w:jc w:val="center"/>
              <w:rPr>
                <w:rFonts w:ascii="Times New Roman" w:eastAsia="SimSun" w:hAnsi="Times New Roman" w:cs="Times New Roman"/>
                <w:iCs/>
                <w:sz w:val="24"/>
                <w:szCs w:val="24"/>
              </w:rPr>
            </w:pPr>
            <w:r w:rsidRPr="00D601C9">
              <w:rPr>
                <w:rFonts w:ascii="Times New Roman" w:eastAsia="Calibri" w:hAnsi="Times New Roman" w:cs="Times New Roman"/>
                <w:color w:val="000000"/>
                <w:sz w:val="24"/>
                <w:szCs w:val="24"/>
                <w:lang w:eastAsia="zh-CN"/>
              </w:rPr>
              <w:t>Được giao /ủy quyền kiểm tra</w:t>
            </w:r>
          </w:p>
        </w:tc>
        <w:tc>
          <w:tcPr>
            <w:tcW w:w="3261" w:type="dxa"/>
            <w:vAlign w:val="center"/>
          </w:tcPr>
          <w:p w14:paraId="1FE26977" w14:textId="77777777" w:rsidR="00ED72CB" w:rsidRPr="00D601C9" w:rsidRDefault="00ED72CB" w:rsidP="00ED72CB">
            <w:pPr>
              <w:spacing w:after="120" w:line="276" w:lineRule="auto"/>
              <w:jc w:val="center"/>
              <w:rPr>
                <w:rFonts w:ascii="Times New Roman" w:eastAsia="SimSun" w:hAnsi="Times New Roman" w:cs="Times New Roman"/>
                <w:iCs/>
                <w:sz w:val="24"/>
                <w:szCs w:val="24"/>
              </w:rPr>
            </w:pPr>
            <w:r w:rsidRPr="00D601C9">
              <w:rPr>
                <w:rFonts w:ascii="Times New Roman" w:eastAsia="SimSun" w:hAnsi="Times New Roman" w:cs="Times New Roman"/>
                <w:iCs/>
                <w:sz w:val="24"/>
                <w:szCs w:val="24"/>
              </w:rPr>
              <w:t>Ghi chú</w:t>
            </w:r>
          </w:p>
        </w:tc>
      </w:tr>
      <w:tr w:rsidR="00ED72CB" w:rsidRPr="00D601C9" w14:paraId="69380842" w14:textId="77777777" w:rsidTr="00ED72CB">
        <w:trPr>
          <w:jc w:val="center"/>
        </w:trPr>
        <w:tc>
          <w:tcPr>
            <w:tcW w:w="709" w:type="dxa"/>
            <w:vAlign w:val="center"/>
          </w:tcPr>
          <w:p w14:paraId="0839A214" w14:textId="77777777" w:rsidR="00ED72CB" w:rsidRPr="00D601C9" w:rsidRDefault="00ED72CB" w:rsidP="00ED72CB">
            <w:pPr>
              <w:spacing w:after="120" w:line="276" w:lineRule="auto"/>
              <w:jc w:val="center"/>
              <w:rPr>
                <w:rFonts w:ascii="Times New Roman" w:eastAsia="SimSun" w:hAnsi="Times New Roman" w:cs="Times New Roman"/>
                <w:iCs/>
                <w:sz w:val="24"/>
                <w:szCs w:val="24"/>
              </w:rPr>
            </w:pPr>
            <w:r w:rsidRPr="00D601C9">
              <w:rPr>
                <w:rFonts w:ascii="Times New Roman" w:eastAsia="SimSun" w:hAnsi="Times New Roman" w:cs="Times New Roman"/>
                <w:iCs/>
                <w:sz w:val="24"/>
                <w:szCs w:val="24"/>
              </w:rPr>
              <w:t>1</w:t>
            </w:r>
          </w:p>
        </w:tc>
        <w:tc>
          <w:tcPr>
            <w:tcW w:w="1843" w:type="dxa"/>
            <w:vAlign w:val="center"/>
          </w:tcPr>
          <w:p w14:paraId="260B9EE0" w14:textId="77777777" w:rsidR="00ED72CB" w:rsidRPr="00D601C9" w:rsidRDefault="00ED72CB" w:rsidP="00ED72CB">
            <w:pPr>
              <w:spacing w:after="120" w:line="276" w:lineRule="auto"/>
              <w:jc w:val="center"/>
              <w:rPr>
                <w:rFonts w:ascii="Times New Roman" w:eastAsia="SimSun" w:hAnsi="Times New Roman" w:cs="Times New Roman"/>
                <w:iCs/>
                <w:sz w:val="24"/>
                <w:szCs w:val="24"/>
              </w:rPr>
            </w:pPr>
            <w:r w:rsidRPr="00D601C9">
              <w:rPr>
                <w:rFonts w:ascii="Times New Roman" w:eastAsia="SimSun" w:hAnsi="Times New Roman" w:cs="Times New Roman"/>
                <w:iCs/>
                <w:sz w:val="24"/>
                <w:szCs w:val="24"/>
              </w:rPr>
              <w:t>FDIC (Mỹ)</w:t>
            </w:r>
          </w:p>
        </w:tc>
        <w:tc>
          <w:tcPr>
            <w:tcW w:w="1319" w:type="dxa"/>
            <w:vAlign w:val="center"/>
          </w:tcPr>
          <w:p w14:paraId="26DAC766" w14:textId="77777777" w:rsidR="00ED72CB" w:rsidRPr="00D601C9" w:rsidRDefault="00ED72CB" w:rsidP="00ED72CB">
            <w:pPr>
              <w:spacing w:after="120" w:line="276" w:lineRule="auto"/>
              <w:jc w:val="center"/>
              <w:rPr>
                <w:rFonts w:ascii="Times New Roman" w:eastAsia="SimSun" w:hAnsi="Times New Roman" w:cs="Times New Roman"/>
                <w:iCs/>
                <w:sz w:val="24"/>
                <w:szCs w:val="24"/>
              </w:rPr>
            </w:pPr>
            <w:r w:rsidRPr="00D601C9">
              <w:rPr>
                <w:rFonts w:ascii="Times New Roman" w:eastAsia="SimSun" w:hAnsi="Times New Roman" w:cs="Times New Roman"/>
                <w:iCs/>
                <w:sz w:val="24"/>
                <w:szCs w:val="24"/>
              </w:rPr>
              <w:t>x</w:t>
            </w:r>
          </w:p>
        </w:tc>
        <w:tc>
          <w:tcPr>
            <w:tcW w:w="1233" w:type="dxa"/>
            <w:vAlign w:val="center"/>
          </w:tcPr>
          <w:p w14:paraId="32206D98" w14:textId="77777777" w:rsidR="00ED72CB" w:rsidRPr="00D601C9" w:rsidRDefault="00ED72CB" w:rsidP="00ED72CB">
            <w:pPr>
              <w:spacing w:after="120" w:line="276" w:lineRule="auto"/>
              <w:jc w:val="center"/>
              <w:rPr>
                <w:rFonts w:ascii="Times New Roman" w:eastAsia="SimSun" w:hAnsi="Times New Roman" w:cs="Times New Roman"/>
                <w:iCs/>
                <w:sz w:val="24"/>
                <w:szCs w:val="24"/>
              </w:rPr>
            </w:pPr>
            <w:r w:rsidRPr="00D601C9">
              <w:rPr>
                <w:rFonts w:ascii="Times New Roman" w:eastAsia="SimSun" w:hAnsi="Times New Roman" w:cs="Times New Roman"/>
                <w:iCs/>
                <w:sz w:val="24"/>
                <w:szCs w:val="24"/>
              </w:rPr>
              <w:t>x</w:t>
            </w:r>
          </w:p>
        </w:tc>
        <w:tc>
          <w:tcPr>
            <w:tcW w:w="1275" w:type="dxa"/>
            <w:vAlign w:val="center"/>
          </w:tcPr>
          <w:p w14:paraId="21193C62" w14:textId="77777777" w:rsidR="00ED72CB" w:rsidRPr="00D601C9" w:rsidRDefault="00ED72CB" w:rsidP="00ED72CB">
            <w:pPr>
              <w:spacing w:after="120" w:line="276" w:lineRule="auto"/>
              <w:jc w:val="center"/>
              <w:rPr>
                <w:rFonts w:ascii="Times New Roman" w:eastAsia="SimSun" w:hAnsi="Times New Roman" w:cs="Times New Roman"/>
                <w:iCs/>
                <w:sz w:val="24"/>
                <w:szCs w:val="24"/>
              </w:rPr>
            </w:pPr>
          </w:p>
        </w:tc>
        <w:tc>
          <w:tcPr>
            <w:tcW w:w="3261" w:type="dxa"/>
          </w:tcPr>
          <w:p w14:paraId="602E3F1C" w14:textId="77777777" w:rsidR="00ED72CB" w:rsidRPr="00D601C9" w:rsidRDefault="00ED72CB" w:rsidP="00ED72CB">
            <w:pPr>
              <w:spacing w:after="120" w:line="276" w:lineRule="auto"/>
              <w:jc w:val="both"/>
              <w:rPr>
                <w:rFonts w:ascii="Times New Roman" w:eastAsia="SimSun" w:hAnsi="Times New Roman" w:cs="Times New Roman"/>
                <w:iCs/>
                <w:sz w:val="24"/>
                <w:szCs w:val="24"/>
              </w:rPr>
            </w:pPr>
            <w:r w:rsidRPr="00D601C9">
              <w:rPr>
                <w:rFonts w:ascii="Times New Roman" w:eastAsia="SimSun" w:hAnsi="Times New Roman" w:cs="Times New Roman"/>
                <w:iCs/>
                <w:sz w:val="24"/>
                <w:szCs w:val="24"/>
              </w:rPr>
              <w:t>FDIC kếp hợp tiến hành kiểm tra các chi nhánh cấp Tiểu bang được bảo hiểm thuộc các ngân hàng nước ngoài với các kỳ kiểm tra do Hội đồng Thống đốc của Cục Dự trữ Liên bang tiến hành.</w:t>
            </w:r>
          </w:p>
        </w:tc>
      </w:tr>
      <w:tr w:rsidR="00ED72CB" w:rsidRPr="00D601C9" w14:paraId="417E8938" w14:textId="77777777" w:rsidTr="00ED72CB">
        <w:trPr>
          <w:jc w:val="center"/>
        </w:trPr>
        <w:tc>
          <w:tcPr>
            <w:tcW w:w="709" w:type="dxa"/>
            <w:vAlign w:val="center"/>
          </w:tcPr>
          <w:p w14:paraId="25A1CC2E" w14:textId="77777777" w:rsidR="00ED72CB" w:rsidRPr="00D601C9" w:rsidRDefault="00ED72CB" w:rsidP="00ED72CB">
            <w:pPr>
              <w:spacing w:after="120" w:line="276" w:lineRule="auto"/>
              <w:jc w:val="center"/>
              <w:rPr>
                <w:rFonts w:ascii="Times New Roman" w:eastAsia="SimSun" w:hAnsi="Times New Roman" w:cs="Times New Roman"/>
                <w:iCs/>
                <w:sz w:val="24"/>
                <w:szCs w:val="24"/>
              </w:rPr>
            </w:pPr>
            <w:r w:rsidRPr="00D601C9">
              <w:rPr>
                <w:rFonts w:ascii="Times New Roman" w:eastAsia="SimSun" w:hAnsi="Times New Roman" w:cs="Times New Roman"/>
                <w:iCs/>
                <w:sz w:val="24"/>
                <w:szCs w:val="24"/>
              </w:rPr>
              <w:t>2</w:t>
            </w:r>
          </w:p>
        </w:tc>
        <w:tc>
          <w:tcPr>
            <w:tcW w:w="1843" w:type="dxa"/>
            <w:vAlign w:val="center"/>
          </w:tcPr>
          <w:p w14:paraId="4B22D262" w14:textId="77777777" w:rsidR="00ED72CB" w:rsidRPr="00D601C9" w:rsidRDefault="00ED72CB" w:rsidP="00ED72CB">
            <w:pPr>
              <w:spacing w:after="120" w:line="276" w:lineRule="auto"/>
              <w:jc w:val="center"/>
              <w:rPr>
                <w:rFonts w:ascii="Times New Roman" w:eastAsia="SimSun" w:hAnsi="Times New Roman" w:cs="Times New Roman"/>
                <w:iCs/>
                <w:sz w:val="24"/>
                <w:szCs w:val="24"/>
              </w:rPr>
            </w:pPr>
            <w:r w:rsidRPr="00D601C9">
              <w:rPr>
                <w:rFonts w:ascii="Times New Roman" w:eastAsia="SimSun" w:hAnsi="Times New Roman" w:cs="Times New Roman"/>
                <w:iCs/>
                <w:sz w:val="24"/>
                <w:szCs w:val="24"/>
              </w:rPr>
              <w:t>IDIC (Indonesia)</w:t>
            </w:r>
          </w:p>
        </w:tc>
        <w:tc>
          <w:tcPr>
            <w:tcW w:w="1319" w:type="dxa"/>
            <w:vAlign w:val="center"/>
          </w:tcPr>
          <w:p w14:paraId="11EDD2FF" w14:textId="77777777" w:rsidR="00ED72CB" w:rsidRPr="00D601C9" w:rsidRDefault="00ED72CB" w:rsidP="00ED72CB">
            <w:pPr>
              <w:spacing w:after="120" w:line="276" w:lineRule="auto"/>
              <w:jc w:val="center"/>
              <w:rPr>
                <w:rFonts w:ascii="Times New Roman" w:eastAsia="SimSun" w:hAnsi="Times New Roman" w:cs="Times New Roman"/>
                <w:iCs/>
                <w:sz w:val="24"/>
                <w:szCs w:val="24"/>
              </w:rPr>
            </w:pPr>
          </w:p>
        </w:tc>
        <w:tc>
          <w:tcPr>
            <w:tcW w:w="1233" w:type="dxa"/>
            <w:vAlign w:val="center"/>
          </w:tcPr>
          <w:p w14:paraId="6BC4287F" w14:textId="77777777" w:rsidR="00ED72CB" w:rsidRPr="00D601C9" w:rsidRDefault="00ED72CB" w:rsidP="00ED72CB">
            <w:pPr>
              <w:spacing w:after="120" w:line="276" w:lineRule="auto"/>
              <w:jc w:val="center"/>
              <w:rPr>
                <w:rFonts w:ascii="Times New Roman" w:eastAsia="SimSun" w:hAnsi="Times New Roman" w:cs="Times New Roman"/>
                <w:iCs/>
                <w:sz w:val="24"/>
                <w:szCs w:val="24"/>
              </w:rPr>
            </w:pPr>
            <w:r w:rsidRPr="00D601C9">
              <w:rPr>
                <w:rFonts w:ascii="Times New Roman" w:eastAsia="SimSun" w:hAnsi="Times New Roman" w:cs="Times New Roman"/>
                <w:iCs/>
                <w:sz w:val="24"/>
                <w:szCs w:val="24"/>
              </w:rPr>
              <w:t>x</w:t>
            </w:r>
          </w:p>
        </w:tc>
        <w:tc>
          <w:tcPr>
            <w:tcW w:w="1275" w:type="dxa"/>
            <w:vAlign w:val="center"/>
          </w:tcPr>
          <w:p w14:paraId="5F528240" w14:textId="77777777" w:rsidR="00ED72CB" w:rsidRPr="00D601C9" w:rsidRDefault="00ED72CB" w:rsidP="00ED72CB">
            <w:pPr>
              <w:spacing w:after="120" w:line="276" w:lineRule="auto"/>
              <w:jc w:val="center"/>
              <w:rPr>
                <w:rFonts w:ascii="Times New Roman" w:eastAsia="SimSun" w:hAnsi="Times New Roman" w:cs="Times New Roman"/>
                <w:iCs/>
                <w:sz w:val="24"/>
                <w:szCs w:val="24"/>
              </w:rPr>
            </w:pPr>
          </w:p>
        </w:tc>
        <w:tc>
          <w:tcPr>
            <w:tcW w:w="3261" w:type="dxa"/>
          </w:tcPr>
          <w:p w14:paraId="7B5BC3AA" w14:textId="77777777" w:rsidR="00ED72CB" w:rsidRPr="00D601C9" w:rsidRDefault="00ED72CB" w:rsidP="00ED72CB">
            <w:pPr>
              <w:spacing w:after="120" w:line="276" w:lineRule="auto"/>
              <w:jc w:val="both"/>
              <w:rPr>
                <w:rFonts w:ascii="Times New Roman" w:eastAsia="SimSun" w:hAnsi="Times New Roman" w:cs="Times New Roman"/>
                <w:iCs/>
                <w:sz w:val="24"/>
                <w:szCs w:val="24"/>
              </w:rPr>
            </w:pPr>
            <w:r w:rsidRPr="00D601C9">
              <w:rPr>
                <w:rFonts w:ascii="Times New Roman" w:eastAsia="SimSun" w:hAnsi="Times New Roman" w:cs="Times New Roman"/>
                <w:iCs/>
                <w:sz w:val="24"/>
                <w:szCs w:val="24"/>
              </w:rPr>
              <w:t>IDIC phối hợp kiểm tra chung với các thành viên trong Ủy ban ổn định hệ thống tài chính FSSC nếu phát hiện rủi ro tiềm ẩn.</w:t>
            </w:r>
          </w:p>
          <w:p w14:paraId="0A6E389D" w14:textId="77777777" w:rsidR="00ED72CB" w:rsidRPr="00D601C9" w:rsidRDefault="00ED72CB" w:rsidP="00ED72CB">
            <w:pPr>
              <w:spacing w:after="120" w:line="276" w:lineRule="auto"/>
              <w:jc w:val="both"/>
              <w:rPr>
                <w:rFonts w:ascii="Times New Roman" w:eastAsia="SimSun" w:hAnsi="Times New Roman" w:cs="Times New Roman"/>
                <w:iCs/>
                <w:sz w:val="24"/>
                <w:szCs w:val="24"/>
              </w:rPr>
            </w:pPr>
            <w:r w:rsidRPr="00D601C9">
              <w:rPr>
                <w:rFonts w:ascii="Times New Roman" w:eastAsia="SimSun" w:hAnsi="Times New Roman" w:cs="Times New Roman"/>
                <w:iCs/>
                <w:sz w:val="24"/>
                <w:szCs w:val="24"/>
              </w:rPr>
              <w:t>IDIC phối hợp với FSA kiểm tra đặc biệt/thẩm tra (due diligence) nhằm chuẩn bị cho quá trình xử lý ngân hàng, chi trả và thanh lý.</w:t>
            </w:r>
          </w:p>
        </w:tc>
      </w:tr>
      <w:tr w:rsidR="00ED72CB" w:rsidRPr="00D601C9" w14:paraId="2970DCB0" w14:textId="77777777" w:rsidTr="00ED72CB">
        <w:trPr>
          <w:jc w:val="center"/>
        </w:trPr>
        <w:tc>
          <w:tcPr>
            <w:tcW w:w="709" w:type="dxa"/>
            <w:vAlign w:val="center"/>
          </w:tcPr>
          <w:p w14:paraId="2E630D4D" w14:textId="77777777" w:rsidR="00ED72CB" w:rsidRPr="00D601C9" w:rsidRDefault="00ED72CB" w:rsidP="00ED72CB">
            <w:pPr>
              <w:spacing w:after="120" w:line="276" w:lineRule="auto"/>
              <w:jc w:val="center"/>
              <w:rPr>
                <w:rFonts w:ascii="Times New Roman" w:eastAsia="SimSun" w:hAnsi="Times New Roman" w:cs="Times New Roman"/>
                <w:iCs/>
                <w:sz w:val="24"/>
                <w:szCs w:val="24"/>
              </w:rPr>
            </w:pPr>
            <w:r w:rsidRPr="00D601C9">
              <w:rPr>
                <w:rFonts w:ascii="Times New Roman" w:eastAsia="SimSun" w:hAnsi="Times New Roman" w:cs="Times New Roman"/>
                <w:iCs/>
                <w:sz w:val="24"/>
                <w:szCs w:val="24"/>
              </w:rPr>
              <w:lastRenderedPageBreak/>
              <w:t>3</w:t>
            </w:r>
          </w:p>
        </w:tc>
        <w:tc>
          <w:tcPr>
            <w:tcW w:w="1843" w:type="dxa"/>
            <w:vAlign w:val="center"/>
          </w:tcPr>
          <w:p w14:paraId="2902024A" w14:textId="77777777" w:rsidR="00ED72CB" w:rsidRPr="00D601C9" w:rsidRDefault="00ED72CB" w:rsidP="00ED72CB">
            <w:pPr>
              <w:spacing w:after="120" w:line="276" w:lineRule="auto"/>
              <w:jc w:val="center"/>
              <w:rPr>
                <w:rFonts w:ascii="Times New Roman" w:eastAsia="SimSun" w:hAnsi="Times New Roman" w:cs="Times New Roman"/>
                <w:iCs/>
                <w:sz w:val="24"/>
                <w:szCs w:val="24"/>
              </w:rPr>
            </w:pPr>
            <w:r w:rsidRPr="00D601C9">
              <w:rPr>
                <w:rFonts w:ascii="Times New Roman" w:eastAsia="SimSun" w:hAnsi="Times New Roman" w:cs="Times New Roman"/>
                <w:iCs/>
                <w:sz w:val="24"/>
                <w:szCs w:val="24"/>
              </w:rPr>
              <w:t>PIDM (Malaysia)</w:t>
            </w:r>
          </w:p>
        </w:tc>
        <w:tc>
          <w:tcPr>
            <w:tcW w:w="1319" w:type="dxa"/>
            <w:vAlign w:val="center"/>
          </w:tcPr>
          <w:p w14:paraId="4D1E9704" w14:textId="77777777" w:rsidR="00ED72CB" w:rsidRPr="00D601C9" w:rsidRDefault="00ED72CB" w:rsidP="00ED72CB">
            <w:pPr>
              <w:spacing w:after="120" w:line="276" w:lineRule="auto"/>
              <w:jc w:val="center"/>
              <w:rPr>
                <w:rFonts w:ascii="Times New Roman" w:eastAsia="SimSun" w:hAnsi="Times New Roman" w:cs="Times New Roman"/>
                <w:iCs/>
                <w:sz w:val="24"/>
                <w:szCs w:val="24"/>
              </w:rPr>
            </w:pPr>
            <w:r w:rsidRPr="00D601C9">
              <w:rPr>
                <w:rFonts w:ascii="Times New Roman" w:eastAsia="SimSun" w:hAnsi="Times New Roman" w:cs="Times New Roman"/>
                <w:iCs/>
                <w:sz w:val="24"/>
                <w:szCs w:val="24"/>
              </w:rPr>
              <w:t>x</w:t>
            </w:r>
          </w:p>
        </w:tc>
        <w:tc>
          <w:tcPr>
            <w:tcW w:w="1233" w:type="dxa"/>
            <w:vAlign w:val="center"/>
          </w:tcPr>
          <w:p w14:paraId="29944EE5" w14:textId="77777777" w:rsidR="00ED72CB" w:rsidRPr="00D601C9" w:rsidRDefault="00ED72CB" w:rsidP="00ED72CB">
            <w:pPr>
              <w:spacing w:after="120" w:line="276" w:lineRule="auto"/>
              <w:jc w:val="center"/>
              <w:rPr>
                <w:rFonts w:ascii="Times New Roman" w:eastAsia="SimSun" w:hAnsi="Times New Roman" w:cs="Times New Roman"/>
                <w:iCs/>
                <w:sz w:val="24"/>
                <w:szCs w:val="24"/>
              </w:rPr>
            </w:pPr>
          </w:p>
        </w:tc>
        <w:tc>
          <w:tcPr>
            <w:tcW w:w="1275" w:type="dxa"/>
            <w:vAlign w:val="center"/>
          </w:tcPr>
          <w:p w14:paraId="39A363E2" w14:textId="77777777" w:rsidR="00ED72CB" w:rsidRPr="00D601C9" w:rsidRDefault="00ED72CB" w:rsidP="00ED72CB">
            <w:pPr>
              <w:spacing w:after="120" w:line="276" w:lineRule="auto"/>
              <w:jc w:val="center"/>
              <w:rPr>
                <w:rFonts w:ascii="Times New Roman" w:eastAsia="SimSun" w:hAnsi="Times New Roman" w:cs="Times New Roman"/>
                <w:iCs/>
                <w:sz w:val="24"/>
                <w:szCs w:val="24"/>
              </w:rPr>
            </w:pPr>
          </w:p>
        </w:tc>
        <w:tc>
          <w:tcPr>
            <w:tcW w:w="3261" w:type="dxa"/>
          </w:tcPr>
          <w:p w14:paraId="4C3BB3E3" w14:textId="77777777" w:rsidR="00ED72CB" w:rsidRPr="00D601C9" w:rsidRDefault="00ED72CB" w:rsidP="00ED72CB">
            <w:pPr>
              <w:spacing w:after="120" w:line="276" w:lineRule="auto"/>
              <w:jc w:val="both"/>
              <w:rPr>
                <w:rFonts w:ascii="Times New Roman" w:eastAsia="SimSun" w:hAnsi="Times New Roman" w:cs="Times New Roman"/>
                <w:iCs/>
                <w:sz w:val="24"/>
                <w:szCs w:val="24"/>
              </w:rPr>
            </w:pPr>
          </w:p>
        </w:tc>
      </w:tr>
      <w:tr w:rsidR="00ED72CB" w:rsidRPr="00D601C9" w14:paraId="03EB60A7" w14:textId="77777777" w:rsidTr="00ED72CB">
        <w:trPr>
          <w:jc w:val="center"/>
        </w:trPr>
        <w:tc>
          <w:tcPr>
            <w:tcW w:w="709" w:type="dxa"/>
            <w:vAlign w:val="center"/>
          </w:tcPr>
          <w:p w14:paraId="69CF21E1" w14:textId="77777777" w:rsidR="00ED72CB" w:rsidRPr="00D601C9" w:rsidRDefault="00ED72CB" w:rsidP="00ED72CB">
            <w:pPr>
              <w:spacing w:after="120" w:line="276" w:lineRule="auto"/>
              <w:jc w:val="center"/>
              <w:rPr>
                <w:rFonts w:ascii="Times New Roman" w:eastAsia="SimSun" w:hAnsi="Times New Roman" w:cs="Times New Roman"/>
                <w:iCs/>
                <w:sz w:val="24"/>
                <w:szCs w:val="24"/>
              </w:rPr>
            </w:pPr>
            <w:r w:rsidRPr="00D601C9">
              <w:rPr>
                <w:rFonts w:ascii="Times New Roman" w:eastAsia="SimSun" w:hAnsi="Times New Roman" w:cs="Times New Roman"/>
                <w:iCs/>
                <w:sz w:val="24"/>
                <w:szCs w:val="24"/>
              </w:rPr>
              <w:t>4</w:t>
            </w:r>
          </w:p>
        </w:tc>
        <w:tc>
          <w:tcPr>
            <w:tcW w:w="1843" w:type="dxa"/>
            <w:vAlign w:val="center"/>
          </w:tcPr>
          <w:p w14:paraId="4A539BB0" w14:textId="77777777" w:rsidR="00ED72CB" w:rsidRPr="00D601C9" w:rsidRDefault="00ED72CB" w:rsidP="00ED72CB">
            <w:pPr>
              <w:spacing w:after="120" w:line="276" w:lineRule="auto"/>
              <w:jc w:val="center"/>
              <w:rPr>
                <w:rFonts w:ascii="Times New Roman" w:eastAsia="SimSun" w:hAnsi="Times New Roman" w:cs="Times New Roman"/>
                <w:iCs/>
                <w:sz w:val="24"/>
                <w:szCs w:val="24"/>
              </w:rPr>
            </w:pPr>
            <w:r w:rsidRPr="00D601C9">
              <w:rPr>
                <w:rFonts w:ascii="Times New Roman" w:eastAsia="SimSun" w:hAnsi="Times New Roman" w:cs="Times New Roman"/>
                <w:iCs/>
                <w:sz w:val="24"/>
                <w:szCs w:val="24"/>
              </w:rPr>
              <w:t>KDIC (Hàn Quốc)</w:t>
            </w:r>
          </w:p>
        </w:tc>
        <w:tc>
          <w:tcPr>
            <w:tcW w:w="1319" w:type="dxa"/>
            <w:vAlign w:val="center"/>
          </w:tcPr>
          <w:p w14:paraId="04889ECF" w14:textId="77777777" w:rsidR="00ED72CB" w:rsidRPr="00D601C9" w:rsidRDefault="00ED72CB" w:rsidP="00ED72CB">
            <w:pPr>
              <w:spacing w:after="120" w:line="276" w:lineRule="auto"/>
              <w:jc w:val="center"/>
              <w:rPr>
                <w:rFonts w:ascii="Times New Roman" w:eastAsia="SimSun" w:hAnsi="Times New Roman" w:cs="Times New Roman"/>
                <w:iCs/>
                <w:sz w:val="24"/>
                <w:szCs w:val="24"/>
              </w:rPr>
            </w:pPr>
            <w:r w:rsidRPr="00D601C9">
              <w:rPr>
                <w:rFonts w:ascii="Times New Roman" w:eastAsia="SimSun" w:hAnsi="Times New Roman" w:cs="Times New Roman"/>
                <w:iCs/>
                <w:sz w:val="24"/>
                <w:szCs w:val="24"/>
              </w:rPr>
              <w:t>x</w:t>
            </w:r>
          </w:p>
        </w:tc>
        <w:tc>
          <w:tcPr>
            <w:tcW w:w="1233" w:type="dxa"/>
            <w:vAlign w:val="center"/>
          </w:tcPr>
          <w:p w14:paraId="084125F2" w14:textId="77777777" w:rsidR="00ED72CB" w:rsidRPr="00D601C9" w:rsidRDefault="00ED72CB" w:rsidP="00ED72CB">
            <w:pPr>
              <w:spacing w:after="120" w:line="276" w:lineRule="auto"/>
              <w:jc w:val="center"/>
              <w:rPr>
                <w:rFonts w:ascii="Times New Roman" w:eastAsia="SimSun" w:hAnsi="Times New Roman" w:cs="Times New Roman"/>
                <w:iCs/>
                <w:sz w:val="24"/>
                <w:szCs w:val="24"/>
              </w:rPr>
            </w:pPr>
            <w:r w:rsidRPr="00D601C9">
              <w:rPr>
                <w:rFonts w:ascii="Times New Roman" w:eastAsia="SimSun" w:hAnsi="Times New Roman" w:cs="Times New Roman"/>
                <w:iCs/>
                <w:sz w:val="24"/>
                <w:szCs w:val="24"/>
              </w:rPr>
              <w:t>x</w:t>
            </w:r>
          </w:p>
        </w:tc>
        <w:tc>
          <w:tcPr>
            <w:tcW w:w="1275" w:type="dxa"/>
            <w:vAlign w:val="center"/>
          </w:tcPr>
          <w:p w14:paraId="465977FA" w14:textId="77777777" w:rsidR="00ED72CB" w:rsidRPr="00D601C9" w:rsidRDefault="00ED72CB" w:rsidP="00ED72CB">
            <w:pPr>
              <w:spacing w:after="120" w:line="276" w:lineRule="auto"/>
              <w:jc w:val="center"/>
              <w:rPr>
                <w:rFonts w:ascii="Times New Roman" w:eastAsia="SimSun" w:hAnsi="Times New Roman" w:cs="Times New Roman"/>
                <w:iCs/>
                <w:sz w:val="24"/>
                <w:szCs w:val="24"/>
              </w:rPr>
            </w:pPr>
          </w:p>
        </w:tc>
        <w:tc>
          <w:tcPr>
            <w:tcW w:w="3261" w:type="dxa"/>
          </w:tcPr>
          <w:p w14:paraId="715C7B19" w14:textId="77777777" w:rsidR="00ED72CB" w:rsidRPr="00D601C9" w:rsidRDefault="00ED72CB" w:rsidP="00ED72CB">
            <w:pPr>
              <w:spacing w:after="120" w:line="276" w:lineRule="auto"/>
              <w:jc w:val="both"/>
              <w:rPr>
                <w:rFonts w:ascii="Times New Roman" w:eastAsia="SimSun" w:hAnsi="Times New Roman" w:cs="Times New Roman"/>
                <w:iCs/>
                <w:sz w:val="24"/>
                <w:szCs w:val="24"/>
              </w:rPr>
            </w:pPr>
            <w:r w:rsidRPr="00D601C9">
              <w:rPr>
                <w:rFonts w:ascii="Times New Roman" w:eastAsia="SimSun" w:hAnsi="Times New Roman" w:cs="Times New Roman"/>
                <w:iCs/>
                <w:sz w:val="24"/>
                <w:szCs w:val="24"/>
              </w:rPr>
              <w:t>KDIC phối hợp kiểm tra với Cơ quan dịch vụ giám sát tài chính (FSS) và/hoặc Ngân hàng Trung ương.</w:t>
            </w:r>
          </w:p>
        </w:tc>
      </w:tr>
      <w:tr w:rsidR="00ED72CB" w:rsidRPr="00D601C9" w14:paraId="46B8908B" w14:textId="77777777" w:rsidTr="00ED72CB">
        <w:trPr>
          <w:jc w:val="center"/>
        </w:trPr>
        <w:tc>
          <w:tcPr>
            <w:tcW w:w="709" w:type="dxa"/>
            <w:vAlign w:val="center"/>
          </w:tcPr>
          <w:p w14:paraId="77E78FCD" w14:textId="77777777" w:rsidR="00ED72CB" w:rsidRPr="00D601C9" w:rsidRDefault="00ED72CB" w:rsidP="00ED72CB">
            <w:pPr>
              <w:spacing w:after="120" w:line="276" w:lineRule="auto"/>
              <w:jc w:val="center"/>
              <w:rPr>
                <w:rFonts w:ascii="Times New Roman" w:eastAsia="SimSun" w:hAnsi="Times New Roman" w:cs="Times New Roman"/>
                <w:iCs/>
                <w:sz w:val="24"/>
                <w:szCs w:val="24"/>
              </w:rPr>
            </w:pPr>
            <w:r w:rsidRPr="00D601C9">
              <w:rPr>
                <w:rFonts w:ascii="Times New Roman" w:eastAsia="SimSun" w:hAnsi="Times New Roman" w:cs="Times New Roman"/>
                <w:iCs/>
                <w:sz w:val="24"/>
                <w:szCs w:val="24"/>
              </w:rPr>
              <w:t>5</w:t>
            </w:r>
          </w:p>
        </w:tc>
        <w:tc>
          <w:tcPr>
            <w:tcW w:w="1843" w:type="dxa"/>
            <w:vAlign w:val="center"/>
          </w:tcPr>
          <w:p w14:paraId="0984A0F7" w14:textId="77777777" w:rsidR="00ED72CB" w:rsidRPr="00D601C9" w:rsidRDefault="00ED72CB" w:rsidP="00ED72CB">
            <w:pPr>
              <w:spacing w:after="120" w:line="276" w:lineRule="auto"/>
              <w:jc w:val="center"/>
              <w:rPr>
                <w:rFonts w:ascii="Times New Roman" w:eastAsia="SimSun" w:hAnsi="Times New Roman" w:cs="Times New Roman"/>
                <w:iCs/>
                <w:sz w:val="24"/>
                <w:szCs w:val="24"/>
              </w:rPr>
            </w:pPr>
            <w:r w:rsidRPr="00D601C9">
              <w:rPr>
                <w:rFonts w:ascii="Times New Roman" w:eastAsia="SimSun" w:hAnsi="Times New Roman" w:cs="Times New Roman"/>
                <w:iCs/>
                <w:sz w:val="24"/>
                <w:szCs w:val="24"/>
              </w:rPr>
              <w:t>DICJ (Nhật Bản)</w:t>
            </w:r>
          </w:p>
        </w:tc>
        <w:tc>
          <w:tcPr>
            <w:tcW w:w="1319" w:type="dxa"/>
            <w:vAlign w:val="center"/>
          </w:tcPr>
          <w:p w14:paraId="401FD003" w14:textId="77777777" w:rsidR="00ED72CB" w:rsidRPr="00D601C9" w:rsidRDefault="00ED72CB" w:rsidP="00ED72CB">
            <w:pPr>
              <w:spacing w:after="120" w:line="276" w:lineRule="auto"/>
              <w:jc w:val="center"/>
              <w:rPr>
                <w:rFonts w:ascii="Times New Roman" w:eastAsia="SimSun" w:hAnsi="Times New Roman" w:cs="Times New Roman"/>
                <w:iCs/>
                <w:sz w:val="24"/>
                <w:szCs w:val="24"/>
              </w:rPr>
            </w:pPr>
          </w:p>
        </w:tc>
        <w:tc>
          <w:tcPr>
            <w:tcW w:w="1233" w:type="dxa"/>
            <w:vAlign w:val="center"/>
          </w:tcPr>
          <w:p w14:paraId="1F7BEA58" w14:textId="77777777" w:rsidR="00ED72CB" w:rsidRPr="00D601C9" w:rsidRDefault="00ED72CB" w:rsidP="00ED72CB">
            <w:pPr>
              <w:spacing w:after="120" w:line="276" w:lineRule="auto"/>
              <w:jc w:val="center"/>
              <w:rPr>
                <w:rFonts w:ascii="Times New Roman" w:eastAsia="SimSun" w:hAnsi="Times New Roman" w:cs="Times New Roman"/>
                <w:iCs/>
                <w:sz w:val="24"/>
                <w:szCs w:val="24"/>
              </w:rPr>
            </w:pPr>
          </w:p>
        </w:tc>
        <w:tc>
          <w:tcPr>
            <w:tcW w:w="1275" w:type="dxa"/>
            <w:vAlign w:val="center"/>
          </w:tcPr>
          <w:p w14:paraId="6FD9F0FB" w14:textId="77777777" w:rsidR="00ED72CB" w:rsidRPr="00D601C9" w:rsidRDefault="00ED72CB" w:rsidP="00ED72CB">
            <w:pPr>
              <w:spacing w:after="120" w:line="276" w:lineRule="auto"/>
              <w:jc w:val="center"/>
              <w:rPr>
                <w:rFonts w:ascii="Times New Roman" w:eastAsia="SimSun" w:hAnsi="Times New Roman" w:cs="Times New Roman"/>
                <w:iCs/>
                <w:sz w:val="24"/>
                <w:szCs w:val="24"/>
              </w:rPr>
            </w:pPr>
            <w:r w:rsidRPr="00D601C9">
              <w:rPr>
                <w:rFonts w:ascii="Times New Roman" w:eastAsia="SimSun" w:hAnsi="Times New Roman" w:cs="Times New Roman"/>
                <w:iCs/>
                <w:sz w:val="24"/>
                <w:szCs w:val="24"/>
              </w:rPr>
              <w:t>x</w:t>
            </w:r>
          </w:p>
        </w:tc>
        <w:tc>
          <w:tcPr>
            <w:tcW w:w="3261" w:type="dxa"/>
          </w:tcPr>
          <w:p w14:paraId="16FEC42C" w14:textId="77777777" w:rsidR="00ED72CB" w:rsidRPr="00D601C9" w:rsidRDefault="00ED72CB" w:rsidP="00ED72CB">
            <w:pPr>
              <w:spacing w:after="120" w:line="276" w:lineRule="auto"/>
              <w:jc w:val="both"/>
              <w:rPr>
                <w:rFonts w:ascii="Times New Roman" w:eastAsia="SimSun" w:hAnsi="Times New Roman" w:cs="Times New Roman"/>
                <w:iCs/>
                <w:sz w:val="24"/>
                <w:szCs w:val="24"/>
              </w:rPr>
            </w:pPr>
            <w:r w:rsidRPr="00D601C9">
              <w:rPr>
                <w:rFonts w:ascii="Times New Roman" w:eastAsia="SimSun" w:hAnsi="Times New Roman" w:cs="Times New Roman"/>
                <w:iCs/>
                <w:sz w:val="24"/>
                <w:szCs w:val="24"/>
              </w:rPr>
              <w:t>Chủ tịch Cơ quan dịch vụ tài chính (FSA) có thể giao quyền cho DICJ thực hiện kiểm tra tại chỗ tổ chức tài chính khi thấy việc kiểm tra là cần thiết.</w:t>
            </w:r>
          </w:p>
        </w:tc>
      </w:tr>
      <w:tr w:rsidR="00ED72CB" w:rsidRPr="00D601C9" w14:paraId="115E0E8E" w14:textId="77777777" w:rsidTr="00ED72CB">
        <w:trPr>
          <w:jc w:val="center"/>
        </w:trPr>
        <w:tc>
          <w:tcPr>
            <w:tcW w:w="709" w:type="dxa"/>
            <w:vAlign w:val="center"/>
          </w:tcPr>
          <w:p w14:paraId="318E060E" w14:textId="77777777" w:rsidR="00ED72CB" w:rsidRPr="00D601C9" w:rsidRDefault="00ED72CB" w:rsidP="00ED72CB">
            <w:pPr>
              <w:spacing w:after="120" w:line="276" w:lineRule="auto"/>
              <w:jc w:val="center"/>
              <w:rPr>
                <w:rFonts w:ascii="Times New Roman" w:eastAsia="SimSun" w:hAnsi="Times New Roman" w:cs="Times New Roman"/>
                <w:iCs/>
                <w:sz w:val="24"/>
                <w:szCs w:val="24"/>
              </w:rPr>
            </w:pPr>
            <w:r w:rsidRPr="00D601C9">
              <w:rPr>
                <w:rFonts w:ascii="Times New Roman" w:eastAsia="SimSun" w:hAnsi="Times New Roman" w:cs="Times New Roman"/>
                <w:iCs/>
                <w:sz w:val="24"/>
                <w:szCs w:val="24"/>
              </w:rPr>
              <w:t>6</w:t>
            </w:r>
          </w:p>
        </w:tc>
        <w:tc>
          <w:tcPr>
            <w:tcW w:w="1843" w:type="dxa"/>
            <w:vAlign w:val="center"/>
          </w:tcPr>
          <w:p w14:paraId="308B0D98" w14:textId="77777777" w:rsidR="00ED72CB" w:rsidRPr="00D601C9" w:rsidRDefault="00ED72CB" w:rsidP="00ED72CB">
            <w:pPr>
              <w:spacing w:after="120" w:line="276" w:lineRule="auto"/>
              <w:jc w:val="center"/>
              <w:rPr>
                <w:rFonts w:ascii="Times New Roman" w:eastAsia="SimSun" w:hAnsi="Times New Roman" w:cs="Times New Roman"/>
                <w:iCs/>
                <w:sz w:val="24"/>
                <w:szCs w:val="24"/>
              </w:rPr>
            </w:pPr>
            <w:r w:rsidRPr="00D601C9">
              <w:rPr>
                <w:rFonts w:ascii="Times New Roman" w:eastAsia="SimSun" w:hAnsi="Times New Roman" w:cs="Times New Roman"/>
                <w:iCs/>
                <w:sz w:val="24"/>
                <w:szCs w:val="24"/>
              </w:rPr>
              <w:t>CDIC (Đài Loan)</w:t>
            </w:r>
          </w:p>
        </w:tc>
        <w:tc>
          <w:tcPr>
            <w:tcW w:w="1319" w:type="dxa"/>
            <w:vAlign w:val="center"/>
          </w:tcPr>
          <w:p w14:paraId="61955722" w14:textId="77777777" w:rsidR="00ED72CB" w:rsidRPr="00D601C9" w:rsidRDefault="00ED72CB" w:rsidP="00ED72CB">
            <w:pPr>
              <w:spacing w:after="120" w:line="276" w:lineRule="auto"/>
              <w:jc w:val="center"/>
              <w:rPr>
                <w:rFonts w:ascii="Times New Roman" w:eastAsia="SimSun" w:hAnsi="Times New Roman" w:cs="Times New Roman"/>
                <w:iCs/>
                <w:sz w:val="24"/>
                <w:szCs w:val="24"/>
              </w:rPr>
            </w:pPr>
            <w:r w:rsidRPr="00D601C9">
              <w:rPr>
                <w:rFonts w:ascii="Times New Roman" w:eastAsia="SimSun" w:hAnsi="Times New Roman" w:cs="Times New Roman"/>
                <w:iCs/>
                <w:sz w:val="24"/>
                <w:szCs w:val="24"/>
              </w:rPr>
              <w:t>x</w:t>
            </w:r>
          </w:p>
        </w:tc>
        <w:tc>
          <w:tcPr>
            <w:tcW w:w="1233" w:type="dxa"/>
            <w:vAlign w:val="center"/>
          </w:tcPr>
          <w:p w14:paraId="393CA82A" w14:textId="77777777" w:rsidR="00ED72CB" w:rsidRPr="00D601C9" w:rsidRDefault="00ED72CB" w:rsidP="00ED72CB">
            <w:pPr>
              <w:spacing w:after="120" w:line="276" w:lineRule="auto"/>
              <w:jc w:val="center"/>
              <w:rPr>
                <w:rFonts w:ascii="Times New Roman" w:eastAsia="SimSun" w:hAnsi="Times New Roman" w:cs="Times New Roman"/>
                <w:iCs/>
                <w:sz w:val="24"/>
                <w:szCs w:val="24"/>
              </w:rPr>
            </w:pPr>
          </w:p>
        </w:tc>
        <w:tc>
          <w:tcPr>
            <w:tcW w:w="1275" w:type="dxa"/>
            <w:vAlign w:val="center"/>
          </w:tcPr>
          <w:p w14:paraId="670C33EA" w14:textId="77777777" w:rsidR="00ED72CB" w:rsidRPr="00D601C9" w:rsidRDefault="00ED72CB" w:rsidP="00ED72CB">
            <w:pPr>
              <w:spacing w:after="120" w:line="276" w:lineRule="auto"/>
              <w:jc w:val="center"/>
              <w:rPr>
                <w:rFonts w:ascii="Times New Roman" w:eastAsia="SimSun" w:hAnsi="Times New Roman" w:cs="Times New Roman"/>
                <w:iCs/>
                <w:sz w:val="24"/>
                <w:szCs w:val="24"/>
              </w:rPr>
            </w:pPr>
          </w:p>
        </w:tc>
        <w:tc>
          <w:tcPr>
            <w:tcW w:w="3261" w:type="dxa"/>
          </w:tcPr>
          <w:p w14:paraId="5A307DFC" w14:textId="77777777" w:rsidR="00ED72CB" w:rsidRPr="00D601C9" w:rsidRDefault="00ED72CB" w:rsidP="00ED72CB">
            <w:pPr>
              <w:spacing w:after="120" w:line="276" w:lineRule="auto"/>
              <w:jc w:val="both"/>
              <w:rPr>
                <w:rFonts w:ascii="Times New Roman" w:eastAsia="SimSun" w:hAnsi="Times New Roman" w:cs="Times New Roman"/>
                <w:iCs/>
                <w:sz w:val="24"/>
                <w:szCs w:val="24"/>
              </w:rPr>
            </w:pPr>
          </w:p>
        </w:tc>
      </w:tr>
    </w:tbl>
    <w:p w14:paraId="6061278A" w14:textId="220A01B9" w:rsidR="00ED72CB" w:rsidRPr="00C647F3" w:rsidRDefault="00ED72CB" w:rsidP="00C647F3">
      <w:pPr>
        <w:pStyle w:val="Heading3"/>
        <w:ind w:firstLine="720"/>
        <w:rPr>
          <w:rFonts w:ascii="Times New Roman" w:hAnsi="Times New Roman"/>
        </w:rPr>
      </w:pPr>
      <w:r w:rsidRPr="00C647F3">
        <w:rPr>
          <w:rFonts w:ascii="Times New Roman" w:hAnsi="Times New Roman"/>
        </w:rPr>
        <w:t>2. Nội dung kiểm tra</w:t>
      </w:r>
    </w:p>
    <w:p w14:paraId="0A36BDB1" w14:textId="77777777" w:rsidR="00ED72CB" w:rsidRPr="00D601C9" w:rsidRDefault="00ED72CB" w:rsidP="00ED72CB">
      <w:pPr>
        <w:spacing w:after="120" w:line="276" w:lineRule="auto"/>
        <w:ind w:firstLine="720"/>
        <w:jc w:val="both"/>
        <w:rPr>
          <w:rFonts w:ascii="Times New Roman" w:eastAsia="Calibri" w:hAnsi="Times New Roman" w:cs="Times New Roman"/>
          <w:sz w:val="28"/>
          <w:szCs w:val="28"/>
          <w:lang w:val="nl-NL"/>
        </w:rPr>
      </w:pPr>
      <w:r w:rsidRPr="00D601C9">
        <w:rPr>
          <w:rFonts w:ascii="Times New Roman" w:eastAsia="Calibri" w:hAnsi="Times New Roman" w:cs="Times New Roman"/>
          <w:sz w:val="28"/>
          <w:szCs w:val="28"/>
          <w:lang w:val="nl-NL"/>
        </w:rPr>
        <w:t xml:space="preserve">Nội dung kiểm tra của các tổ chức BHTG là khác nhau đối với từng quốc gia và tùy vào mô hình, quyền hạn của các tổ chức BHTG. Về cơ bản hoạt động kiểm tra của tổ chức BHTG có thể bao gồm nhưng không giới hạn ở những nội dung sau: </w:t>
      </w:r>
    </w:p>
    <w:p w14:paraId="7117D9A2" w14:textId="77777777" w:rsidR="00ED72CB" w:rsidRPr="00D601C9" w:rsidRDefault="00ED72CB" w:rsidP="00ED72CB">
      <w:pPr>
        <w:spacing w:after="120" w:line="276" w:lineRule="auto"/>
        <w:ind w:firstLine="720"/>
        <w:jc w:val="both"/>
        <w:rPr>
          <w:rFonts w:ascii="Times New Roman" w:eastAsia="Calibri" w:hAnsi="Times New Roman" w:cs="Times New Roman"/>
          <w:sz w:val="28"/>
          <w:szCs w:val="28"/>
          <w:lang w:val="nl-NL"/>
        </w:rPr>
      </w:pPr>
      <w:r w:rsidRPr="00D601C9">
        <w:rPr>
          <w:rFonts w:ascii="Times New Roman" w:eastAsia="Calibri" w:hAnsi="Times New Roman" w:cs="Times New Roman"/>
          <w:sz w:val="28"/>
          <w:szCs w:val="28"/>
          <w:lang w:val="nl-NL"/>
        </w:rPr>
        <w:t xml:space="preserve">(1) Kiểm tra việc tuân thủ của các quy định của pháp luật về BHTG và các quy định khác liên quan đến tiền gửi được bảo hiểm, bao gồm: việc nộp phí BHTG chính xác; việc duy trì cơ sở dữ liệu và hồ sơ của khách hàng gửi tiền đảm bảo đúng quy định; việc tuân thủ các quy định pháp luật liên quan đến tiền gửi được bảo hiểm; </w:t>
      </w:r>
    </w:p>
    <w:p w14:paraId="3B050DBE" w14:textId="77777777" w:rsidR="00ED72CB" w:rsidRPr="00D601C9" w:rsidRDefault="00ED72CB" w:rsidP="00ED72CB">
      <w:pPr>
        <w:spacing w:after="120" w:line="276" w:lineRule="auto"/>
        <w:ind w:firstLine="720"/>
        <w:jc w:val="both"/>
        <w:rPr>
          <w:rFonts w:ascii="Times New Roman" w:eastAsia="Calibri" w:hAnsi="Times New Roman" w:cs="Times New Roman"/>
          <w:sz w:val="28"/>
          <w:szCs w:val="28"/>
          <w:lang w:val="nl-NL"/>
        </w:rPr>
      </w:pPr>
      <w:r w:rsidRPr="00D601C9">
        <w:rPr>
          <w:rFonts w:ascii="Times New Roman" w:eastAsia="Calibri" w:hAnsi="Times New Roman" w:cs="Times New Roman"/>
          <w:sz w:val="28"/>
          <w:szCs w:val="28"/>
          <w:lang w:val="nl-NL"/>
        </w:rPr>
        <w:t xml:space="preserve">(2) Kiểm tra trên cơ sở rủi ro (risk-based examination): </w:t>
      </w:r>
      <w:r w:rsidRPr="00D601C9">
        <w:rPr>
          <w:rFonts w:ascii="Times New Roman" w:eastAsia="Calibri" w:hAnsi="Times New Roman" w:cs="Times New Roman"/>
          <w:sz w:val="28"/>
          <w:szCs w:val="28"/>
        </w:rPr>
        <w:t>nhằm phát hiện sớm các nguy cơ ảnh hưởng đến sự an toàn và lành mạnh của tổ chức tài chính. C</w:t>
      </w:r>
      <w:r w:rsidRPr="00D601C9">
        <w:rPr>
          <w:rFonts w:ascii="Times New Roman" w:eastAsia="Calibri" w:hAnsi="Times New Roman" w:cs="Times New Roman"/>
          <w:sz w:val="28"/>
          <w:szCs w:val="28"/>
          <w:lang w:val="nl-NL"/>
        </w:rPr>
        <w:t xml:space="preserve">ác nội dung kiểm tra tập trung vào việc xác định, đánh giá mức độ rủi ro về vốn, chất lượng tài sản, quản trị, khả năng sinh lời, tính thanh khoản, và hệ thống kiểm soát nội bộ... Thông thường, các tổ chức BHTG hoạt động theo mô hình giảm thiểu rủi ro thực hiện kiểm tra các nội dung này và có thể dựa trên sự thống nhất chung với Cơ quan giám sát chịu trách nhiệm chính đối với các tổ chức tài chính như Ngân hàng Trung ương, Ủy ban giám sát tài chính,..; </w:t>
      </w:r>
    </w:p>
    <w:p w14:paraId="4BED0F75" w14:textId="77777777" w:rsidR="00ED72CB" w:rsidRPr="00D601C9" w:rsidRDefault="00ED72CB" w:rsidP="00ED72CB">
      <w:pPr>
        <w:spacing w:after="120" w:line="276" w:lineRule="auto"/>
        <w:ind w:firstLine="720"/>
        <w:jc w:val="both"/>
        <w:rPr>
          <w:rFonts w:ascii="Times New Roman" w:eastAsia="Calibri" w:hAnsi="Times New Roman" w:cs="Times New Roman"/>
          <w:sz w:val="28"/>
          <w:szCs w:val="28"/>
          <w:lang w:val="nl-NL"/>
        </w:rPr>
      </w:pPr>
      <w:r w:rsidRPr="00D601C9">
        <w:rPr>
          <w:rFonts w:ascii="Times New Roman" w:eastAsia="Calibri" w:hAnsi="Times New Roman" w:cs="Times New Roman"/>
          <w:sz w:val="28"/>
          <w:szCs w:val="28"/>
          <w:lang w:val="nl-NL"/>
        </w:rPr>
        <w:t>(3) Kiểm tra đặc biệt, thẩm tra (due diligence) khi tổ chức tham gia BHTG được xác định gặp vấn đề bao gồm các nội dung kiểm tra hồ sơ, sổ sách, tài khoản và các tài liệu liên quan, đánh giá tài sản và nợ phải trả nhằm xác định chính xác tình trạng tài chính của tổ chức tham gia BHTG gặp vấn đề để có phương án xử lý phù hợp.</w:t>
      </w:r>
      <w:r w:rsidRPr="00D601C9">
        <w:rPr>
          <w:rFonts w:ascii="Times New Roman" w:hAnsi="Times New Roman" w:cs="Times New Roman"/>
          <w:sz w:val="28"/>
          <w:szCs w:val="28"/>
        </w:rPr>
        <w:t xml:space="preserve"> </w:t>
      </w:r>
      <w:r w:rsidRPr="00D601C9">
        <w:rPr>
          <w:rFonts w:ascii="Times New Roman" w:eastAsia="Calibri" w:hAnsi="Times New Roman" w:cs="Times New Roman"/>
          <w:sz w:val="28"/>
          <w:szCs w:val="28"/>
          <w:lang w:val="nl-NL"/>
        </w:rPr>
        <w:t xml:space="preserve">Tổ </w:t>
      </w:r>
      <w:r w:rsidRPr="00D601C9">
        <w:rPr>
          <w:rFonts w:ascii="Times New Roman" w:eastAsia="Calibri" w:hAnsi="Times New Roman" w:cs="Times New Roman"/>
          <w:sz w:val="28"/>
          <w:szCs w:val="28"/>
          <w:lang w:val="nl-NL"/>
        </w:rPr>
        <w:lastRenderedPageBreak/>
        <w:t>chức BHTG có thể phối hợp với các cơ quan trong mạng an toàn tài chính hoặc cơ quan có thẩm quyền thực hiện kiểm tra các nội dung này.</w:t>
      </w:r>
    </w:p>
    <w:tbl>
      <w:tblPr>
        <w:tblStyle w:val="TableGrid"/>
        <w:tblW w:w="5000" w:type="pct"/>
        <w:tblLook w:val="04A0" w:firstRow="1" w:lastRow="0" w:firstColumn="1" w:lastColumn="0" w:noHBand="0" w:noVBand="1"/>
      </w:tblPr>
      <w:tblGrid>
        <w:gridCol w:w="1633"/>
        <w:gridCol w:w="6454"/>
        <w:gridCol w:w="1443"/>
      </w:tblGrid>
      <w:tr w:rsidR="00ED72CB" w:rsidRPr="00D601C9" w14:paraId="5CE94AD5" w14:textId="77777777" w:rsidTr="00ED72CB">
        <w:trPr>
          <w:trHeight w:val="566"/>
          <w:tblHeader/>
        </w:trPr>
        <w:tc>
          <w:tcPr>
            <w:tcW w:w="857" w:type="pct"/>
            <w:vAlign w:val="center"/>
          </w:tcPr>
          <w:p w14:paraId="6076E8BF" w14:textId="77777777" w:rsidR="00ED72CB" w:rsidRPr="00D601C9" w:rsidRDefault="00ED72CB" w:rsidP="00ED72CB">
            <w:pPr>
              <w:spacing w:after="120" w:line="276" w:lineRule="auto"/>
              <w:jc w:val="center"/>
              <w:rPr>
                <w:rFonts w:ascii="Times New Roman" w:eastAsia="Calibri" w:hAnsi="Times New Roman" w:cs="Times New Roman"/>
                <w:sz w:val="24"/>
                <w:szCs w:val="24"/>
                <w:lang w:val="nl-NL"/>
              </w:rPr>
            </w:pPr>
            <w:r w:rsidRPr="00D601C9">
              <w:rPr>
                <w:rFonts w:ascii="Times New Roman" w:eastAsia="Calibri" w:hAnsi="Times New Roman" w:cs="Times New Roman"/>
                <w:sz w:val="24"/>
                <w:szCs w:val="24"/>
                <w:lang w:val="nl-NL"/>
              </w:rPr>
              <w:t>Tên TC</w:t>
            </w:r>
          </w:p>
        </w:tc>
        <w:tc>
          <w:tcPr>
            <w:tcW w:w="3386" w:type="pct"/>
            <w:vAlign w:val="center"/>
          </w:tcPr>
          <w:p w14:paraId="4CCBE125" w14:textId="77777777" w:rsidR="00ED72CB" w:rsidRPr="00D601C9" w:rsidRDefault="00ED72CB" w:rsidP="00ED72CB">
            <w:pPr>
              <w:spacing w:after="120" w:line="276" w:lineRule="auto"/>
              <w:jc w:val="center"/>
              <w:rPr>
                <w:rFonts w:ascii="Times New Roman" w:eastAsia="Calibri" w:hAnsi="Times New Roman" w:cs="Times New Roman"/>
                <w:sz w:val="24"/>
                <w:szCs w:val="24"/>
                <w:lang w:val="nl-NL"/>
              </w:rPr>
            </w:pPr>
            <w:r w:rsidRPr="00D601C9">
              <w:rPr>
                <w:rFonts w:ascii="Times New Roman" w:eastAsia="Calibri" w:hAnsi="Times New Roman" w:cs="Times New Roman"/>
                <w:sz w:val="24"/>
                <w:szCs w:val="24"/>
                <w:lang w:val="nl-NL"/>
              </w:rPr>
              <w:t>Nội dung kiểm tra</w:t>
            </w:r>
          </w:p>
        </w:tc>
        <w:tc>
          <w:tcPr>
            <w:tcW w:w="758" w:type="pct"/>
            <w:vAlign w:val="center"/>
          </w:tcPr>
          <w:p w14:paraId="448928A6" w14:textId="77777777" w:rsidR="00ED72CB" w:rsidRPr="00D601C9" w:rsidRDefault="00ED72CB" w:rsidP="00ED72CB">
            <w:pPr>
              <w:spacing w:after="120" w:line="276" w:lineRule="auto"/>
              <w:jc w:val="center"/>
              <w:rPr>
                <w:rFonts w:ascii="Times New Roman" w:eastAsia="Calibri" w:hAnsi="Times New Roman" w:cs="Times New Roman"/>
                <w:sz w:val="24"/>
                <w:szCs w:val="24"/>
                <w:lang w:val="nl-NL"/>
              </w:rPr>
            </w:pPr>
            <w:r w:rsidRPr="00D601C9">
              <w:rPr>
                <w:rFonts w:ascii="Times New Roman" w:eastAsia="Calibri" w:hAnsi="Times New Roman" w:cs="Times New Roman"/>
                <w:sz w:val="24"/>
                <w:szCs w:val="24"/>
                <w:lang w:val="nl-NL"/>
              </w:rPr>
              <w:t>Mô hình tổ chức</w:t>
            </w:r>
          </w:p>
        </w:tc>
      </w:tr>
      <w:tr w:rsidR="00ED72CB" w:rsidRPr="00D601C9" w14:paraId="44A4184C" w14:textId="77777777" w:rsidTr="00ED72CB">
        <w:trPr>
          <w:trHeight w:val="964"/>
        </w:trPr>
        <w:tc>
          <w:tcPr>
            <w:tcW w:w="857" w:type="pct"/>
          </w:tcPr>
          <w:p w14:paraId="7CE8C81C" w14:textId="77777777" w:rsidR="00ED72CB" w:rsidRPr="00D601C9" w:rsidRDefault="00ED72CB" w:rsidP="00ED72CB">
            <w:pPr>
              <w:spacing w:after="120" w:line="276" w:lineRule="auto"/>
              <w:jc w:val="center"/>
              <w:rPr>
                <w:rFonts w:ascii="Times New Roman" w:eastAsia="Calibri" w:hAnsi="Times New Roman" w:cs="Times New Roman"/>
                <w:sz w:val="24"/>
                <w:szCs w:val="24"/>
                <w:lang w:val="nl-NL"/>
              </w:rPr>
            </w:pPr>
            <w:r w:rsidRPr="00D601C9">
              <w:rPr>
                <w:rFonts w:ascii="Times New Roman" w:eastAsia="Calibri" w:hAnsi="Times New Roman" w:cs="Times New Roman"/>
                <w:sz w:val="24"/>
                <w:szCs w:val="24"/>
                <w:lang w:val="nl-NL"/>
              </w:rPr>
              <w:t>LPS/IDIC (Indonesia)</w:t>
            </w:r>
          </w:p>
        </w:tc>
        <w:tc>
          <w:tcPr>
            <w:tcW w:w="3386" w:type="pct"/>
          </w:tcPr>
          <w:p w14:paraId="0951C83F" w14:textId="77777777" w:rsidR="00ED72CB" w:rsidRPr="00D601C9" w:rsidRDefault="00ED72CB" w:rsidP="00ED72CB">
            <w:pPr>
              <w:spacing w:after="120" w:line="276" w:lineRule="auto"/>
              <w:jc w:val="both"/>
              <w:rPr>
                <w:rFonts w:ascii="Times New Roman" w:eastAsia="Calibri" w:hAnsi="Times New Roman" w:cs="Times New Roman"/>
                <w:sz w:val="24"/>
                <w:szCs w:val="24"/>
                <w:lang w:val="nl-NL"/>
              </w:rPr>
            </w:pPr>
            <w:r w:rsidRPr="00D601C9">
              <w:rPr>
                <w:rFonts w:ascii="Times New Roman" w:eastAsia="Calibri" w:hAnsi="Times New Roman" w:cs="Times New Roman"/>
                <w:sz w:val="24"/>
                <w:szCs w:val="24"/>
                <w:lang w:val="nl-NL"/>
              </w:rPr>
              <w:t>Kiểm tra việc tính phí theo quy định.</w:t>
            </w:r>
          </w:p>
          <w:p w14:paraId="217BC5EC" w14:textId="77777777" w:rsidR="00ED72CB" w:rsidRPr="00D601C9" w:rsidRDefault="00ED72CB" w:rsidP="00ED72CB">
            <w:pPr>
              <w:spacing w:after="120" w:line="276" w:lineRule="auto"/>
              <w:jc w:val="both"/>
              <w:rPr>
                <w:rFonts w:ascii="Times New Roman" w:eastAsia="Calibri" w:hAnsi="Times New Roman" w:cs="Times New Roman"/>
                <w:sz w:val="24"/>
                <w:szCs w:val="24"/>
                <w:lang w:val="nl-NL"/>
              </w:rPr>
            </w:pPr>
            <w:r w:rsidRPr="00D601C9">
              <w:rPr>
                <w:rFonts w:ascii="Times New Roman" w:eastAsia="Calibri" w:hAnsi="Times New Roman" w:cs="Times New Roman"/>
                <w:sz w:val="24"/>
                <w:szCs w:val="24"/>
                <w:lang w:val="nl-NL"/>
              </w:rPr>
              <w:t>Kiểm tra đặc biệt đối với ngân hàng thuộc diện phục hồi chuẩn bị cho quá trình xử lý ngân hàng, chi trả và thanh lý, bao gồm: kiểm tra về tài chính, pháp lý, tuyển dụng, hệ thống thông tin, đồng thời xác định những khoản mục tài sản và nợ có thể chuyển giao cho ngân hàng khác, định giá tài sản và nợ, xác định những chức năng và hoạt động cơ bản của ngân hàng, xác định triển vọng kinh doanh của ngân hàng, phân tích rủi ro, xác định những cáo buộc gian lận</w:t>
            </w:r>
          </w:p>
        </w:tc>
        <w:tc>
          <w:tcPr>
            <w:tcW w:w="758" w:type="pct"/>
          </w:tcPr>
          <w:p w14:paraId="2464A895" w14:textId="77777777" w:rsidR="00ED72CB" w:rsidRPr="00D601C9" w:rsidRDefault="00ED72CB" w:rsidP="00ED72CB">
            <w:pPr>
              <w:spacing w:after="120" w:line="276" w:lineRule="auto"/>
              <w:jc w:val="both"/>
              <w:rPr>
                <w:rFonts w:ascii="Times New Roman" w:eastAsia="Calibri" w:hAnsi="Times New Roman" w:cs="Times New Roman"/>
                <w:sz w:val="24"/>
                <w:szCs w:val="24"/>
                <w:lang w:val="nl-NL"/>
              </w:rPr>
            </w:pPr>
            <w:r w:rsidRPr="00D601C9">
              <w:rPr>
                <w:rFonts w:ascii="Times New Roman" w:eastAsia="Calibri" w:hAnsi="Times New Roman" w:cs="Times New Roman"/>
                <w:sz w:val="24"/>
                <w:szCs w:val="24"/>
                <w:lang w:val="nl-NL"/>
              </w:rPr>
              <w:t>Giảm thiểu rủi ro</w:t>
            </w:r>
          </w:p>
        </w:tc>
      </w:tr>
      <w:tr w:rsidR="00ED72CB" w:rsidRPr="00D601C9" w14:paraId="11777040" w14:textId="77777777" w:rsidTr="00ED72CB">
        <w:trPr>
          <w:trHeight w:val="964"/>
        </w:trPr>
        <w:tc>
          <w:tcPr>
            <w:tcW w:w="857" w:type="pct"/>
          </w:tcPr>
          <w:p w14:paraId="6644EFFA" w14:textId="77777777" w:rsidR="00ED72CB" w:rsidRPr="00D601C9" w:rsidRDefault="00ED72CB" w:rsidP="00ED72CB">
            <w:pPr>
              <w:spacing w:after="120" w:line="276" w:lineRule="auto"/>
              <w:jc w:val="center"/>
              <w:rPr>
                <w:rFonts w:ascii="Times New Roman" w:eastAsia="Calibri" w:hAnsi="Times New Roman" w:cs="Times New Roman"/>
                <w:sz w:val="24"/>
                <w:szCs w:val="24"/>
                <w:lang w:val="nl-NL"/>
              </w:rPr>
            </w:pPr>
            <w:r w:rsidRPr="00D601C9">
              <w:rPr>
                <w:rFonts w:ascii="Times New Roman" w:eastAsia="Calibri" w:hAnsi="Times New Roman" w:cs="Times New Roman"/>
                <w:sz w:val="24"/>
                <w:szCs w:val="24"/>
                <w:lang w:val="nl-NL"/>
              </w:rPr>
              <w:t>KDIF (Kazakhstan)</w:t>
            </w:r>
          </w:p>
        </w:tc>
        <w:tc>
          <w:tcPr>
            <w:tcW w:w="3386" w:type="pct"/>
          </w:tcPr>
          <w:p w14:paraId="7DB737E3" w14:textId="77777777" w:rsidR="00ED72CB" w:rsidRPr="00D601C9" w:rsidRDefault="00ED72CB" w:rsidP="00ED72CB">
            <w:pPr>
              <w:spacing w:after="120" w:line="276" w:lineRule="auto"/>
              <w:jc w:val="both"/>
              <w:rPr>
                <w:rFonts w:ascii="Times New Roman" w:eastAsia="Calibri" w:hAnsi="Times New Roman" w:cs="Times New Roman"/>
                <w:sz w:val="24"/>
                <w:szCs w:val="24"/>
                <w:lang w:val="nl-NL"/>
              </w:rPr>
            </w:pPr>
            <w:r w:rsidRPr="00D601C9">
              <w:rPr>
                <w:rFonts w:ascii="Times New Roman" w:eastAsia="Calibri" w:hAnsi="Times New Roman" w:cs="Times New Roman"/>
                <w:sz w:val="24"/>
                <w:szCs w:val="24"/>
                <w:lang w:val="nl-NL"/>
              </w:rPr>
              <w:t>- Kiểm tra tuân thủ luật pháp;</w:t>
            </w:r>
          </w:p>
          <w:p w14:paraId="78E7F925" w14:textId="77777777" w:rsidR="00ED72CB" w:rsidRPr="00D601C9" w:rsidRDefault="00ED72CB" w:rsidP="00ED72CB">
            <w:pPr>
              <w:spacing w:after="120" w:line="276" w:lineRule="auto"/>
              <w:jc w:val="both"/>
              <w:rPr>
                <w:rFonts w:ascii="Times New Roman" w:eastAsia="Calibri" w:hAnsi="Times New Roman" w:cs="Times New Roman"/>
                <w:sz w:val="24"/>
                <w:szCs w:val="24"/>
                <w:lang w:val="nl-NL"/>
              </w:rPr>
            </w:pPr>
            <w:r w:rsidRPr="00D601C9">
              <w:rPr>
                <w:rFonts w:ascii="Times New Roman" w:eastAsia="Calibri" w:hAnsi="Times New Roman" w:cs="Times New Roman"/>
                <w:sz w:val="24"/>
                <w:szCs w:val="24"/>
                <w:lang w:val="nl-NL"/>
              </w:rPr>
              <w:t>- Kiểm tra cơ sở dữ liệu về người gửi tiền tại các ngân hàng;</w:t>
            </w:r>
          </w:p>
          <w:p w14:paraId="764E000B" w14:textId="77777777" w:rsidR="00ED72CB" w:rsidRPr="00D601C9" w:rsidRDefault="00ED72CB" w:rsidP="00ED72CB">
            <w:pPr>
              <w:spacing w:after="120" w:line="276" w:lineRule="auto"/>
              <w:jc w:val="both"/>
              <w:rPr>
                <w:rFonts w:ascii="Times New Roman" w:eastAsia="Calibri" w:hAnsi="Times New Roman" w:cs="Times New Roman"/>
                <w:sz w:val="24"/>
                <w:szCs w:val="24"/>
                <w:lang w:val="nl-NL"/>
              </w:rPr>
            </w:pPr>
            <w:r w:rsidRPr="00D601C9">
              <w:rPr>
                <w:rFonts w:ascii="Times New Roman" w:eastAsia="Calibri" w:hAnsi="Times New Roman" w:cs="Times New Roman"/>
                <w:sz w:val="24"/>
                <w:szCs w:val="24"/>
                <w:lang w:val="nl-NL"/>
              </w:rPr>
              <w:t>- Kiểm tra tuân thủ mức lãi suất tối đa.</w:t>
            </w:r>
          </w:p>
        </w:tc>
        <w:tc>
          <w:tcPr>
            <w:tcW w:w="758" w:type="pct"/>
          </w:tcPr>
          <w:p w14:paraId="29648CB9" w14:textId="77777777" w:rsidR="00ED72CB" w:rsidRPr="00D601C9" w:rsidRDefault="00ED72CB" w:rsidP="00ED72CB">
            <w:pPr>
              <w:spacing w:after="120" w:line="276" w:lineRule="auto"/>
              <w:jc w:val="both"/>
              <w:rPr>
                <w:rFonts w:ascii="Times New Roman" w:eastAsia="Calibri" w:hAnsi="Times New Roman" w:cs="Times New Roman"/>
                <w:sz w:val="24"/>
                <w:szCs w:val="24"/>
                <w:lang w:val="nl-NL"/>
              </w:rPr>
            </w:pPr>
            <w:r w:rsidRPr="00D601C9">
              <w:rPr>
                <w:rFonts w:ascii="Times New Roman" w:eastAsia="Calibri" w:hAnsi="Times New Roman" w:cs="Times New Roman"/>
                <w:sz w:val="24"/>
                <w:szCs w:val="24"/>
                <w:lang w:val="nl-NL"/>
              </w:rPr>
              <w:t>Chi trả mở rộng</w:t>
            </w:r>
          </w:p>
        </w:tc>
      </w:tr>
      <w:tr w:rsidR="00ED72CB" w:rsidRPr="00D601C9" w14:paraId="46FBCC29" w14:textId="77777777" w:rsidTr="00ED72CB">
        <w:trPr>
          <w:trHeight w:val="964"/>
        </w:trPr>
        <w:tc>
          <w:tcPr>
            <w:tcW w:w="857" w:type="pct"/>
          </w:tcPr>
          <w:p w14:paraId="2E19EEF7" w14:textId="77777777" w:rsidR="00ED72CB" w:rsidRPr="00D601C9" w:rsidRDefault="00ED72CB" w:rsidP="00ED72CB">
            <w:pPr>
              <w:spacing w:after="120" w:line="276" w:lineRule="auto"/>
              <w:jc w:val="center"/>
              <w:rPr>
                <w:rFonts w:ascii="Times New Roman" w:eastAsia="Calibri" w:hAnsi="Times New Roman" w:cs="Times New Roman"/>
                <w:sz w:val="24"/>
                <w:szCs w:val="24"/>
                <w:lang w:val="nl-NL"/>
              </w:rPr>
            </w:pPr>
            <w:r w:rsidRPr="00D601C9">
              <w:rPr>
                <w:rFonts w:ascii="Times New Roman" w:eastAsia="Calibri" w:hAnsi="Times New Roman" w:cs="Times New Roman"/>
                <w:sz w:val="24"/>
                <w:szCs w:val="24"/>
                <w:lang w:val="nl-NL"/>
              </w:rPr>
              <w:t>DICJ</w:t>
            </w:r>
          </w:p>
        </w:tc>
        <w:tc>
          <w:tcPr>
            <w:tcW w:w="3386" w:type="pct"/>
          </w:tcPr>
          <w:p w14:paraId="33F1378C" w14:textId="77777777" w:rsidR="00ED72CB" w:rsidRPr="00D601C9" w:rsidRDefault="00ED72CB" w:rsidP="00ED72CB">
            <w:pPr>
              <w:spacing w:after="120" w:line="276" w:lineRule="auto"/>
              <w:jc w:val="both"/>
              <w:rPr>
                <w:rFonts w:ascii="Times New Roman" w:eastAsia="Calibri" w:hAnsi="Times New Roman" w:cs="Times New Roman"/>
                <w:sz w:val="24"/>
                <w:szCs w:val="24"/>
                <w:lang w:val="nl-NL"/>
              </w:rPr>
            </w:pPr>
            <w:r w:rsidRPr="00D601C9">
              <w:rPr>
                <w:rFonts w:ascii="Times New Roman" w:eastAsia="Calibri" w:hAnsi="Times New Roman" w:cs="Times New Roman"/>
                <w:sz w:val="24"/>
                <w:szCs w:val="24"/>
                <w:lang w:val="nl-NL"/>
              </w:rPr>
              <w:t>- Việc chi trả phí bảo hiểm được thực hiện phù hợp</w:t>
            </w:r>
          </w:p>
          <w:p w14:paraId="47ECCA14" w14:textId="77777777" w:rsidR="00ED72CB" w:rsidRPr="00D601C9" w:rsidRDefault="00ED72CB" w:rsidP="00ED72CB">
            <w:pPr>
              <w:spacing w:after="120" w:line="276" w:lineRule="auto"/>
              <w:jc w:val="both"/>
              <w:rPr>
                <w:rFonts w:ascii="Times New Roman" w:eastAsia="Calibri" w:hAnsi="Times New Roman" w:cs="Times New Roman"/>
                <w:sz w:val="24"/>
                <w:szCs w:val="24"/>
                <w:lang w:val="nl-NL"/>
              </w:rPr>
            </w:pPr>
            <w:r w:rsidRPr="00D601C9">
              <w:rPr>
                <w:rFonts w:ascii="Times New Roman" w:eastAsia="Calibri" w:hAnsi="Times New Roman" w:cs="Times New Roman"/>
                <w:sz w:val="24"/>
                <w:szCs w:val="24"/>
                <w:lang w:val="nl-NL"/>
              </w:rPr>
              <w:t>- Điều khoản duy trì dữ liệu người gửi tiền cần thiết (các hồ sơ báo cáo chi tiết về tiền gửi và rút tiền).</w:t>
            </w:r>
          </w:p>
          <w:p w14:paraId="62114166" w14:textId="77777777" w:rsidR="00ED72CB" w:rsidRPr="00D601C9" w:rsidRDefault="00ED72CB" w:rsidP="00ED72CB">
            <w:pPr>
              <w:spacing w:after="120" w:line="276" w:lineRule="auto"/>
              <w:jc w:val="both"/>
              <w:rPr>
                <w:rFonts w:ascii="Times New Roman" w:eastAsia="Calibri" w:hAnsi="Times New Roman" w:cs="Times New Roman"/>
                <w:sz w:val="24"/>
                <w:szCs w:val="24"/>
                <w:lang w:val="nl-NL"/>
              </w:rPr>
            </w:pPr>
            <w:r w:rsidRPr="00D601C9">
              <w:rPr>
                <w:rFonts w:ascii="Times New Roman" w:eastAsia="Calibri" w:hAnsi="Times New Roman" w:cs="Times New Roman"/>
                <w:sz w:val="24"/>
                <w:szCs w:val="24"/>
                <w:lang w:val="nl-NL"/>
              </w:rPr>
              <w:t>- Khối lượng chi trả dự kiến về tiền gửi và các yêu cầu bồi thường khác trong trường hợp đổ vỡ tổ chức tài chính</w:t>
            </w:r>
          </w:p>
          <w:p w14:paraId="4B06C19E" w14:textId="77777777" w:rsidR="00ED72CB" w:rsidRPr="00D601C9" w:rsidRDefault="00ED72CB" w:rsidP="00ED72CB">
            <w:pPr>
              <w:spacing w:after="120" w:line="276" w:lineRule="auto"/>
              <w:jc w:val="both"/>
              <w:rPr>
                <w:rFonts w:ascii="Times New Roman" w:eastAsia="Calibri" w:hAnsi="Times New Roman" w:cs="Times New Roman"/>
                <w:sz w:val="24"/>
                <w:szCs w:val="24"/>
                <w:lang w:val="nl-NL"/>
              </w:rPr>
            </w:pPr>
            <w:r w:rsidRPr="00D601C9">
              <w:rPr>
                <w:rFonts w:ascii="Times New Roman" w:eastAsia="Calibri" w:hAnsi="Times New Roman" w:cs="Times New Roman"/>
                <w:sz w:val="24"/>
                <w:szCs w:val="24"/>
                <w:lang w:val="nl-NL"/>
              </w:rPr>
              <w:t>- Điều khoản thực thi các hoạt động kinh doanh quản lý và phân bổ tài sản cần thiết để đảm bảo thực hiện hiệu quả việc xử lý theo trật tự của tổ chức tài chính.</w:t>
            </w:r>
          </w:p>
        </w:tc>
        <w:tc>
          <w:tcPr>
            <w:tcW w:w="758" w:type="pct"/>
          </w:tcPr>
          <w:p w14:paraId="5D3EA2E3" w14:textId="77777777" w:rsidR="00ED72CB" w:rsidRPr="00D601C9" w:rsidRDefault="00ED72CB" w:rsidP="00ED72CB">
            <w:pPr>
              <w:spacing w:after="120" w:line="276" w:lineRule="auto"/>
              <w:jc w:val="both"/>
              <w:rPr>
                <w:rFonts w:ascii="Times New Roman" w:eastAsia="Calibri" w:hAnsi="Times New Roman" w:cs="Times New Roman"/>
                <w:sz w:val="24"/>
                <w:szCs w:val="24"/>
                <w:lang w:val="nl-NL"/>
              </w:rPr>
            </w:pPr>
            <w:r w:rsidRPr="00D601C9">
              <w:rPr>
                <w:rFonts w:ascii="Times New Roman" w:eastAsia="Calibri" w:hAnsi="Times New Roman" w:cs="Times New Roman"/>
                <w:sz w:val="24"/>
                <w:szCs w:val="24"/>
                <w:lang w:val="nl-NL"/>
              </w:rPr>
              <w:t>Giảm thiểu tổn thất</w:t>
            </w:r>
          </w:p>
        </w:tc>
      </w:tr>
      <w:tr w:rsidR="00ED72CB" w:rsidRPr="00D601C9" w14:paraId="32B05E94" w14:textId="77777777" w:rsidTr="00ED72CB">
        <w:trPr>
          <w:trHeight w:val="964"/>
        </w:trPr>
        <w:tc>
          <w:tcPr>
            <w:tcW w:w="857" w:type="pct"/>
          </w:tcPr>
          <w:p w14:paraId="44D417BD" w14:textId="77777777" w:rsidR="00ED72CB" w:rsidRPr="00D601C9" w:rsidRDefault="00ED72CB" w:rsidP="00ED72CB">
            <w:pPr>
              <w:spacing w:after="120" w:line="276" w:lineRule="auto"/>
              <w:jc w:val="center"/>
              <w:rPr>
                <w:rFonts w:ascii="Times New Roman" w:eastAsia="Calibri" w:hAnsi="Times New Roman" w:cs="Times New Roman"/>
                <w:sz w:val="24"/>
                <w:szCs w:val="24"/>
                <w:lang w:val="nl-NL"/>
              </w:rPr>
            </w:pPr>
            <w:r w:rsidRPr="00D601C9">
              <w:rPr>
                <w:rFonts w:ascii="Times New Roman" w:eastAsia="Calibri" w:hAnsi="Times New Roman" w:cs="Times New Roman"/>
                <w:sz w:val="24"/>
                <w:szCs w:val="24"/>
                <w:lang w:val="nl-NL"/>
              </w:rPr>
              <w:t>CDIC (Taiwan)</w:t>
            </w:r>
          </w:p>
        </w:tc>
        <w:tc>
          <w:tcPr>
            <w:tcW w:w="3386" w:type="pct"/>
          </w:tcPr>
          <w:p w14:paraId="179F7525" w14:textId="77777777" w:rsidR="00ED72CB" w:rsidRPr="00D601C9" w:rsidRDefault="00ED72CB" w:rsidP="00ED72CB">
            <w:pPr>
              <w:spacing w:after="120" w:line="276" w:lineRule="auto"/>
              <w:jc w:val="both"/>
              <w:rPr>
                <w:rFonts w:ascii="Times New Roman" w:eastAsia="Calibri" w:hAnsi="Times New Roman" w:cs="Times New Roman"/>
                <w:sz w:val="24"/>
                <w:szCs w:val="24"/>
                <w:lang w:val="nl-NL"/>
              </w:rPr>
            </w:pPr>
            <w:r w:rsidRPr="00D601C9">
              <w:rPr>
                <w:rFonts w:ascii="Times New Roman" w:eastAsia="Calibri" w:hAnsi="Times New Roman" w:cs="Times New Roman"/>
                <w:sz w:val="24"/>
                <w:szCs w:val="24"/>
                <w:lang w:val="nl-NL"/>
              </w:rPr>
              <w:t>Độ chính xác của cơ sở tính phí bảo hiểm tiền gửi và nội dung của các tệp dữ liệu điện tử.</w:t>
            </w:r>
          </w:p>
          <w:p w14:paraId="5B5DCADB" w14:textId="77777777" w:rsidR="00ED72CB" w:rsidRPr="00D601C9" w:rsidRDefault="00ED72CB" w:rsidP="00ED72CB">
            <w:pPr>
              <w:spacing w:after="120" w:line="276" w:lineRule="auto"/>
              <w:jc w:val="both"/>
              <w:rPr>
                <w:rFonts w:ascii="Times New Roman" w:eastAsia="Calibri" w:hAnsi="Times New Roman" w:cs="Times New Roman"/>
                <w:sz w:val="24"/>
                <w:szCs w:val="24"/>
                <w:lang w:val="nl-NL"/>
              </w:rPr>
            </w:pPr>
            <w:r w:rsidRPr="00D601C9">
              <w:rPr>
                <w:rFonts w:ascii="Times New Roman" w:eastAsia="Calibri" w:hAnsi="Times New Roman" w:cs="Times New Roman"/>
                <w:sz w:val="24"/>
                <w:szCs w:val="24"/>
                <w:lang w:val="nl-NL"/>
              </w:rPr>
              <w:t>Bất kỳ sự kiện nào làm chấm dứt hợp đồng BHTG.</w:t>
            </w:r>
          </w:p>
          <w:p w14:paraId="383C192A" w14:textId="77777777" w:rsidR="00ED72CB" w:rsidRPr="00D601C9" w:rsidRDefault="00ED72CB" w:rsidP="00ED72CB">
            <w:pPr>
              <w:spacing w:after="120" w:line="276" w:lineRule="auto"/>
              <w:jc w:val="both"/>
              <w:rPr>
                <w:rFonts w:ascii="Times New Roman" w:eastAsia="Calibri" w:hAnsi="Times New Roman" w:cs="Times New Roman"/>
                <w:sz w:val="24"/>
                <w:szCs w:val="24"/>
                <w:lang w:val="nl-NL"/>
              </w:rPr>
            </w:pPr>
            <w:r w:rsidRPr="00D601C9">
              <w:rPr>
                <w:rFonts w:ascii="Times New Roman" w:eastAsia="Calibri" w:hAnsi="Times New Roman" w:cs="Times New Roman"/>
                <w:sz w:val="24"/>
                <w:szCs w:val="24"/>
                <w:lang w:val="nl-NL"/>
              </w:rPr>
              <w:t>Tài sản và nợ phải trả của các tổ chức tham gia BHTG trước khi hoàn thành trách nhiệm BHTG.</w:t>
            </w:r>
          </w:p>
          <w:p w14:paraId="749E1F6B" w14:textId="77777777" w:rsidR="00ED72CB" w:rsidRPr="00D601C9" w:rsidRDefault="00ED72CB" w:rsidP="00ED72CB">
            <w:pPr>
              <w:spacing w:after="120" w:line="276" w:lineRule="auto"/>
              <w:jc w:val="both"/>
              <w:rPr>
                <w:rFonts w:ascii="Times New Roman" w:eastAsia="Calibri" w:hAnsi="Times New Roman" w:cs="Times New Roman"/>
                <w:sz w:val="24"/>
                <w:szCs w:val="24"/>
                <w:lang w:val="nl-NL"/>
              </w:rPr>
            </w:pPr>
            <w:r w:rsidRPr="00D601C9">
              <w:rPr>
                <w:rFonts w:ascii="Times New Roman" w:eastAsia="Calibri" w:hAnsi="Times New Roman" w:cs="Times New Roman"/>
                <w:sz w:val="24"/>
                <w:szCs w:val="24"/>
                <w:lang w:val="nl-NL"/>
              </w:rPr>
              <w:t>Thông tin về tài sản và thông tin cần thiết khác để truy cứu trách nhiệm dân sự do các hành vi bất hợp pháp và những thiếu sót của nhân viên của các tổ chức tham gia BHTG bị đổ vỡ và có vấn đề được nhận hỗ trợ tài chính.</w:t>
            </w:r>
          </w:p>
        </w:tc>
        <w:tc>
          <w:tcPr>
            <w:tcW w:w="758" w:type="pct"/>
          </w:tcPr>
          <w:p w14:paraId="712850CB" w14:textId="77777777" w:rsidR="00ED72CB" w:rsidRPr="00D601C9" w:rsidRDefault="00ED72CB" w:rsidP="00ED72CB">
            <w:pPr>
              <w:spacing w:after="120" w:line="276" w:lineRule="auto"/>
              <w:jc w:val="both"/>
              <w:rPr>
                <w:rFonts w:ascii="Times New Roman" w:eastAsia="Calibri" w:hAnsi="Times New Roman" w:cs="Times New Roman"/>
                <w:sz w:val="24"/>
                <w:szCs w:val="24"/>
                <w:lang w:val="nl-NL"/>
              </w:rPr>
            </w:pPr>
            <w:r w:rsidRPr="00D601C9">
              <w:rPr>
                <w:rFonts w:ascii="Times New Roman" w:eastAsia="Calibri" w:hAnsi="Times New Roman" w:cs="Times New Roman"/>
                <w:sz w:val="24"/>
                <w:szCs w:val="24"/>
                <w:lang w:val="nl-NL"/>
              </w:rPr>
              <w:t>Giảm thiểu rủi ro</w:t>
            </w:r>
          </w:p>
        </w:tc>
      </w:tr>
      <w:tr w:rsidR="00ED72CB" w:rsidRPr="00D601C9" w14:paraId="38E8A36D" w14:textId="77777777" w:rsidTr="00ED72CB">
        <w:trPr>
          <w:trHeight w:val="518"/>
        </w:trPr>
        <w:tc>
          <w:tcPr>
            <w:tcW w:w="857" w:type="pct"/>
          </w:tcPr>
          <w:p w14:paraId="33291DB9" w14:textId="77777777" w:rsidR="00ED72CB" w:rsidRPr="00D601C9" w:rsidRDefault="00ED72CB" w:rsidP="00ED72CB">
            <w:pPr>
              <w:spacing w:after="120" w:line="276" w:lineRule="auto"/>
              <w:jc w:val="center"/>
              <w:rPr>
                <w:rFonts w:ascii="Times New Roman" w:eastAsia="Calibri" w:hAnsi="Times New Roman" w:cs="Times New Roman"/>
                <w:sz w:val="24"/>
                <w:szCs w:val="24"/>
                <w:lang w:val="nl-NL"/>
              </w:rPr>
            </w:pPr>
            <w:r w:rsidRPr="00D601C9">
              <w:rPr>
                <w:rFonts w:ascii="Times New Roman" w:eastAsia="Calibri" w:hAnsi="Times New Roman" w:cs="Times New Roman"/>
                <w:sz w:val="24"/>
                <w:szCs w:val="24"/>
                <w:lang w:val="nl-NL"/>
              </w:rPr>
              <w:t>KDIC</w:t>
            </w:r>
          </w:p>
          <w:p w14:paraId="4B660066" w14:textId="77777777" w:rsidR="00ED72CB" w:rsidRPr="00D601C9" w:rsidRDefault="00ED72CB" w:rsidP="00ED72CB">
            <w:pPr>
              <w:spacing w:after="120" w:line="276" w:lineRule="auto"/>
              <w:jc w:val="center"/>
              <w:rPr>
                <w:rFonts w:ascii="Times New Roman" w:eastAsia="Calibri" w:hAnsi="Times New Roman" w:cs="Times New Roman"/>
                <w:sz w:val="24"/>
                <w:szCs w:val="24"/>
                <w:lang w:val="nl-NL"/>
              </w:rPr>
            </w:pPr>
            <w:r w:rsidRPr="00D601C9">
              <w:rPr>
                <w:rFonts w:ascii="Times New Roman" w:eastAsia="Calibri" w:hAnsi="Times New Roman" w:cs="Times New Roman"/>
                <w:sz w:val="24"/>
                <w:szCs w:val="24"/>
                <w:lang w:val="nl-NL"/>
              </w:rPr>
              <w:t>(Hàn Quốc)</w:t>
            </w:r>
          </w:p>
        </w:tc>
        <w:tc>
          <w:tcPr>
            <w:tcW w:w="3386" w:type="pct"/>
          </w:tcPr>
          <w:p w14:paraId="232A19C1" w14:textId="77777777" w:rsidR="00ED72CB" w:rsidRPr="00D601C9" w:rsidRDefault="00ED72CB" w:rsidP="00ED72CB">
            <w:pPr>
              <w:spacing w:after="120" w:line="276" w:lineRule="auto"/>
              <w:jc w:val="both"/>
              <w:rPr>
                <w:rFonts w:ascii="Times New Roman" w:eastAsia="Calibri" w:hAnsi="Times New Roman" w:cs="Times New Roman"/>
                <w:sz w:val="24"/>
                <w:szCs w:val="24"/>
                <w:lang w:val="nl-NL"/>
              </w:rPr>
            </w:pPr>
            <w:r w:rsidRPr="00D601C9">
              <w:rPr>
                <w:rFonts w:ascii="Times New Roman" w:eastAsia="Calibri" w:hAnsi="Times New Roman" w:cs="Times New Roman"/>
                <w:sz w:val="24"/>
                <w:szCs w:val="24"/>
                <w:lang w:val="nl-NL"/>
              </w:rPr>
              <w:t>- Xác định yếu tố rủi ro của tổ chức tài chính: rủi ro tín dụng, rủi ro thị trường, rủi ro quản lý, rủi ro hoạt động…;</w:t>
            </w:r>
          </w:p>
          <w:p w14:paraId="212ACCA5" w14:textId="77777777" w:rsidR="00ED72CB" w:rsidRPr="00D601C9" w:rsidRDefault="00ED72CB" w:rsidP="00ED72CB">
            <w:pPr>
              <w:spacing w:after="120" w:line="276" w:lineRule="auto"/>
              <w:jc w:val="both"/>
              <w:rPr>
                <w:rFonts w:ascii="Times New Roman" w:eastAsia="Calibri" w:hAnsi="Times New Roman" w:cs="Times New Roman"/>
                <w:sz w:val="24"/>
                <w:szCs w:val="24"/>
                <w:lang w:val="nl-NL"/>
              </w:rPr>
            </w:pPr>
            <w:r w:rsidRPr="00D601C9">
              <w:rPr>
                <w:rFonts w:ascii="Times New Roman" w:eastAsia="Calibri" w:hAnsi="Times New Roman" w:cs="Times New Roman"/>
                <w:sz w:val="24"/>
                <w:szCs w:val="24"/>
                <w:lang w:val="nl-NL"/>
              </w:rPr>
              <w:t>- Phân loại chất lượng tài sản: xem xét dự phòng rủi ro tín dụng có phù hợp hay không;</w:t>
            </w:r>
          </w:p>
          <w:p w14:paraId="01F98D05" w14:textId="77777777" w:rsidR="00ED72CB" w:rsidRPr="00D601C9" w:rsidRDefault="00ED72CB" w:rsidP="00ED72CB">
            <w:pPr>
              <w:spacing w:after="120" w:line="276" w:lineRule="auto"/>
              <w:jc w:val="both"/>
              <w:rPr>
                <w:rFonts w:ascii="Times New Roman" w:eastAsia="Calibri" w:hAnsi="Times New Roman" w:cs="Times New Roman"/>
                <w:sz w:val="24"/>
                <w:szCs w:val="24"/>
                <w:lang w:val="nl-NL"/>
              </w:rPr>
            </w:pPr>
            <w:r w:rsidRPr="00D601C9">
              <w:rPr>
                <w:rFonts w:ascii="Times New Roman" w:eastAsia="Calibri" w:hAnsi="Times New Roman" w:cs="Times New Roman"/>
                <w:sz w:val="24"/>
                <w:szCs w:val="24"/>
                <w:lang w:val="nl-NL"/>
              </w:rPr>
              <w:lastRenderedPageBreak/>
              <w:t>- Đánh giá khả năng quản lý rủi ro;</w:t>
            </w:r>
          </w:p>
          <w:p w14:paraId="5DA39955" w14:textId="77777777" w:rsidR="00ED72CB" w:rsidRPr="00D601C9" w:rsidRDefault="00ED72CB" w:rsidP="00ED72CB">
            <w:pPr>
              <w:spacing w:after="120" w:line="276" w:lineRule="auto"/>
              <w:jc w:val="both"/>
              <w:rPr>
                <w:rFonts w:ascii="Times New Roman" w:eastAsia="Calibri" w:hAnsi="Times New Roman" w:cs="Times New Roman"/>
                <w:sz w:val="24"/>
                <w:szCs w:val="24"/>
                <w:lang w:val="nl-NL"/>
              </w:rPr>
            </w:pPr>
            <w:r w:rsidRPr="00D601C9">
              <w:rPr>
                <w:rFonts w:ascii="Times New Roman" w:eastAsia="Calibri" w:hAnsi="Times New Roman" w:cs="Times New Roman"/>
                <w:sz w:val="24"/>
                <w:szCs w:val="24"/>
                <w:lang w:val="nl-NL"/>
              </w:rPr>
              <w:t>- Kiểm tra hoạt động kiểm soát nội bộ.</w:t>
            </w:r>
          </w:p>
        </w:tc>
        <w:tc>
          <w:tcPr>
            <w:tcW w:w="758" w:type="pct"/>
          </w:tcPr>
          <w:p w14:paraId="683E4BA3" w14:textId="77777777" w:rsidR="00ED72CB" w:rsidRPr="00D601C9" w:rsidRDefault="00ED72CB" w:rsidP="00ED72CB">
            <w:pPr>
              <w:spacing w:after="120" w:line="276" w:lineRule="auto"/>
              <w:jc w:val="both"/>
              <w:rPr>
                <w:rFonts w:ascii="Times New Roman" w:eastAsia="Calibri" w:hAnsi="Times New Roman" w:cs="Times New Roman"/>
                <w:sz w:val="24"/>
                <w:szCs w:val="24"/>
                <w:lang w:val="nl-NL"/>
              </w:rPr>
            </w:pPr>
            <w:r w:rsidRPr="00D601C9">
              <w:rPr>
                <w:rFonts w:ascii="Times New Roman" w:eastAsia="Calibri" w:hAnsi="Times New Roman" w:cs="Times New Roman"/>
                <w:sz w:val="24"/>
                <w:szCs w:val="24"/>
                <w:lang w:val="nl-NL"/>
              </w:rPr>
              <w:lastRenderedPageBreak/>
              <w:t>Giảm thiểu rủi ro</w:t>
            </w:r>
          </w:p>
        </w:tc>
      </w:tr>
      <w:tr w:rsidR="00ED72CB" w:rsidRPr="00D601C9" w14:paraId="0480C3FB" w14:textId="77777777" w:rsidTr="00ED72CB">
        <w:trPr>
          <w:trHeight w:val="964"/>
        </w:trPr>
        <w:tc>
          <w:tcPr>
            <w:tcW w:w="857" w:type="pct"/>
          </w:tcPr>
          <w:p w14:paraId="4FD26610" w14:textId="77777777" w:rsidR="00ED72CB" w:rsidRPr="00D601C9" w:rsidRDefault="00ED72CB" w:rsidP="00ED72CB">
            <w:pPr>
              <w:spacing w:after="120" w:line="276" w:lineRule="auto"/>
              <w:jc w:val="center"/>
              <w:rPr>
                <w:rFonts w:ascii="Times New Roman" w:eastAsia="Calibri" w:hAnsi="Times New Roman" w:cs="Times New Roman"/>
                <w:sz w:val="24"/>
                <w:szCs w:val="24"/>
                <w:lang w:val="nl-NL"/>
              </w:rPr>
            </w:pPr>
            <w:r w:rsidRPr="00D601C9">
              <w:rPr>
                <w:rFonts w:ascii="Times New Roman" w:eastAsia="Calibri" w:hAnsi="Times New Roman" w:cs="Times New Roman"/>
                <w:sz w:val="24"/>
                <w:szCs w:val="24"/>
                <w:lang w:val="nl-NL"/>
              </w:rPr>
              <w:lastRenderedPageBreak/>
              <w:t>PIDM</w:t>
            </w:r>
          </w:p>
          <w:p w14:paraId="55A24901" w14:textId="77777777" w:rsidR="00ED72CB" w:rsidRPr="00D601C9" w:rsidRDefault="00ED72CB" w:rsidP="00ED72CB">
            <w:pPr>
              <w:spacing w:after="120" w:line="276" w:lineRule="auto"/>
              <w:jc w:val="center"/>
              <w:rPr>
                <w:rFonts w:ascii="Times New Roman" w:eastAsia="Calibri" w:hAnsi="Times New Roman" w:cs="Times New Roman"/>
                <w:sz w:val="24"/>
                <w:szCs w:val="24"/>
                <w:lang w:val="nl-NL"/>
              </w:rPr>
            </w:pPr>
            <w:r w:rsidRPr="00D601C9">
              <w:rPr>
                <w:rFonts w:ascii="Times New Roman" w:eastAsia="Calibri" w:hAnsi="Times New Roman" w:cs="Times New Roman"/>
                <w:sz w:val="24"/>
                <w:szCs w:val="24"/>
                <w:lang w:val="nl-NL"/>
              </w:rPr>
              <w:t>(Malaysia)</w:t>
            </w:r>
          </w:p>
        </w:tc>
        <w:tc>
          <w:tcPr>
            <w:tcW w:w="3386" w:type="pct"/>
          </w:tcPr>
          <w:p w14:paraId="4DD7995C" w14:textId="77777777" w:rsidR="00ED72CB" w:rsidRPr="00D601C9" w:rsidRDefault="00ED72CB" w:rsidP="00ED72CB">
            <w:pPr>
              <w:spacing w:after="120" w:line="276" w:lineRule="auto"/>
              <w:jc w:val="both"/>
              <w:rPr>
                <w:rFonts w:ascii="Times New Roman" w:eastAsia="Calibri" w:hAnsi="Times New Roman" w:cs="Times New Roman"/>
                <w:sz w:val="24"/>
                <w:szCs w:val="24"/>
                <w:lang w:val="nl-NL"/>
              </w:rPr>
            </w:pPr>
            <w:r w:rsidRPr="00D601C9">
              <w:rPr>
                <w:rFonts w:ascii="Times New Roman" w:eastAsia="Calibri" w:hAnsi="Times New Roman" w:cs="Times New Roman"/>
                <w:sz w:val="24"/>
                <w:szCs w:val="24"/>
                <w:lang w:val="nl-NL"/>
              </w:rPr>
              <w:t>Kiểm tra việc lưu giữ sổ sách giấy tờ về tiền gửi;</w:t>
            </w:r>
          </w:p>
          <w:p w14:paraId="63232AC6" w14:textId="77777777" w:rsidR="00ED72CB" w:rsidRPr="00D601C9" w:rsidRDefault="00ED72CB" w:rsidP="00ED72CB">
            <w:pPr>
              <w:spacing w:after="120" w:line="276" w:lineRule="auto"/>
              <w:jc w:val="both"/>
              <w:rPr>
                <w:rFonts w:ascii="Times New Roman" w:eastAsia="Calibri" w:hAnsi="Times New Roman" w:cs="Times New Roman"/>
                <w:sz w:val="24"/>
                <w:szCs w:val="24"/>
                <w:lang w:val="nl-NL"/>
              </w:rPr>
            </w:pPr>
            <w:r w:rsidRPr="00D601C9">
              <w:rPr>
                <w:rFonts w:ascii="Times New Roman" w:eastAsia="Calibri" w:hAnsi="Times New Roman" w:cs="Times New Roman"/>
                <w:sz w:val="24"/>
                <w:szCs w:val="24"/>
                <w:lang w:val="nl-NL"/>
              </w:rPr>
              <w:t>Kiểm tra tính đầy đủ, chính xác của các báo cáo của tổ chức thành viên về các khoản phí bảo hiểm của mình;</w:t>
            </w:r>
          </w:p>
          <w:p w14:paraId="572CCB4A" w14:textId="77777777" w:rsidR="00ED72CB" w:rsidRPr="00D601C9" w:rsidRDefault="00ED72CB" w:rsidP="00ED72CB">
            <w:pPr>
              <w:spacing w:after="120" w:line="276" w:lineRule="auto"/>
              <w:jc w:val="both"/>
              <w:rPr>
                <w:rFonts w:ascii="Times New Roman" w:eastAsia="Calibri" w:hAnsi="Times New Roman" w:cs="Times New Roman"/>
                <w:sz w:val="24"/>
                <w:szCs w:val="24"/>
                <w:lang w:val="nl-NL"/>
              </w:rPr>
            </w:pPr>
            <w:r w:rsidRPr="00D601C9">
              <w:rPr>
                <w:rFonts w:ascii="Times New Roman" w:eastAsia="Calibri" w:hAnsi="Times New Roman" w:cs="Times New Roman"/>
                <w:sz w:val="24"/>
                <w:szCs w:val="24"/>
                <w:lang w:val="nl-NL"/>
              </w:rPr>
              <w:t>Kiểm tra việc tuân thủ của các tổ chức thành viên;</w:t>
            </w:r>
          </w:p>
          <w:p w14:paraId="6C7FBC28" w14:textId="77777777" w:rsidR="00ED72CB" w:rsidRPr="00D601C9" w:rsidRDefault="00ED72CB" w:rsidP="00ED72CB">
            <w:pPr>
              <w:spacing w:after="120" w:line="276" w:lineRule="auto"/>
              <w:jc w:val="both"/>
              <w:rPr>
                <w:rFonts w:ascii="Times New Roman" w:eastAsia="Calibri" w:hAnsi="Times New Roman" w:cs="Times New Roman"/>
                <w:sz w:val="24"/>
                <w:szCs w:val="24"/>
                <w:lang w:val="nl-NL"/>
              </w:rPr>
            </w:pPr>
            <w:r w:rsidRPr="00D601C9">
              <w:rPr>
                <w:rFonts w:ascii="Times New Roman" w:eastAsia="Calibri" w:hAnsi="Times New Roman" w:cs="Times New Roman"/>
                <w:sz w:val="24"/>
                <w:szCs w:val="24"/>
                <w:lang w:val="nl-NL"/>
              </w:rPr>
              <w:t>Kiểm tra nội dung khác dựa trên sự sự thống nhất chung với NHTW Malaysia.</w:t>
            </w:r>
          </w:p>
        </w:tc>
        <w:tc>
          <w:tcPr>
            <w:tcW w:w="758" w:type="pct"/>
          </w:tcPr>
          <w:p w14:paraId="7B624868" w14:textId="77777777" w:rsidR="00ED72CB" w:rsidRPr="00D601C9" w:rsidRDefault="00ED72CB" w:rsidP="00ED72CB">
            <w:pPr>
              <w:spacing w:after="120" w:line="276" w:lineRule="auto"/>
              <w:jc w:val="both"/>
              <w:rPr>
                <w:rFonts w:ascii="Times New Roman" w:eastAsia="Calibri" w:hAnsi="Times New Roman" w:cs="Times New Roman"/>
                <w:sz w:val="24"/>
                <w:szCs w:val="24"/>
                <w:lang w:val="nl-NL"/>
              </w:rPr>
            </w:pPr>
            <w:r w:rsidRPr="00D601C9">
              <w:rPr>
                <w:rFonts w:ascii="Times New Roman" w:eastAsia="Calibri" w:hAnsi="Times New Roman" w:cs="Times New Roman"/>
                <w:sz w:val="24"/>
                <w:szCs w:val="24"/>
                <w:lang w:val="nl-NL"/>
              </w:rPr>
              <w:t>Giảm thiểu rủi ro</w:t>
            </w:r>
          </w:p>
        </w:tc>
      </w:tr>
      <w:tr w:rsidR="00ED72CB" w:rsidRPr="00D601C9" w14:paraId="61AC646C" w14:textId="77777777" w:rsidTr="00ED72CB">
        <w:trPr>
          <w:trHeight w:val="964"/>
        </w:trPr>
        <w:tc>
          <w:tcPr>
            <w:tcW w:w="857" w:type="pct"/>
          </w:tcPr>
          <w:p w14:paraId="5AEB33F2" w14:textId="77777777" w:rsidR="00ED72CB" w:rsidRPr="00D601C9" w:rsidRDefault="00ED72CB" w:rsidP="00ED72CB">
            <w:pPr>
              <w:spacing w:after="120" w:line="276" w:lineRule="auto"/>
              <w:jc w:val="center"/>
              <w:rPr>
                <w:rFonts w:ascii="Times New Roman" w:eastAsia="Calibri" w:hAnsi="Times New Roman" w:cs="Times New Roman"/>
                <w:sz w:val="24"/>
                <w:szCs w:val="24"/>
                <w:lang w:val="nl-NL"/>
              </w:rPr>
            </w:pPr>
            <w:r w:rsidRPr="00D601C9">
              <w:rPr>
                <w:rFonts w:ascii="Times New Roman" w:eastAsia="Calibri" w:hAnsi="Times New Roman" w:cs="Times New Roman"/>
                <w:sz w:val="24"/>
                <w:szCs w:val="24"/>
                <w:lang w:val="nl-NL"/>
              </w:rPr>
              <w:t>FDIC</w:t>
            </w:r>
          </w:p>
          <w:p w14:paraId="0C34BADC" w14:textId="77777777" w:rsidR="00ED72CB" w:rsidRPr="00D601C9" w:rsidRDefault="00ED72CB" w:rsidP="00ED72CB">
            <w:pPr>
              <w:spacing w:after="120" w:line="276" w:lineRule="auto"/>
              <w:jc w:val="center"/>
              <w:rPr>
                <w:rFonts w:ascii="Times New Roman" w:eastAsia="Calibri" w:hAnsi="Times New Roman" w:cs="Times New Roman"/>
                <w:sz w:val="24"/>
                <w:szCs w:val="24"/>
                <w:lang w:val="nl-NL"/>
              </w:rPr>
            </w:pPr>
            <w:r w:rsidRPr="00D601C9">
              <w:rPr>
                <w:rFonts w:ascii="Times New Roman" w:eastAsia="Calibri" w:hAnsi="Times New Roman" w:cs="Times New Roman"/>
                <w:sz w:val="24"/>
                <w:szCs w:val="24"/>
                <w:lang w:val="nl-NL"/>
              </w:rPr>
              <w:t>(Mỹ)</w:t>
            </w:r>
          </w:p>
        </w:tc>
        <w:tc>
          <w:tcPr>
            <w:tcW w:w="3386" w:type="pct"/>
          </w:tcPr>
          <w:p w14:paraId="5DF14BA2" w14:textId="77777777" w:rsidR="00ED72CB" w:rsidRPr="00D601C9" w:rsidRDefault="00ED72CB" w:rsidP="00ED72CB">
            <w:pPr>
              <w:spacing w:after="120" w:line="276" w:lineRule="auto"/>
              <w:jc w:val="both"/>
              <w:rPr>
                <w:rFonts w:ascii="Times New Roman" w:eastAsia="Calibri" w:hAnsi="Times New Roman" w:cs="Times New Roman"/>
                <w:sz w:val="24"/>
                <w:szCs w:val="24"/>
                <w:lang w:val="nl-NL"/>
              </w:rPr>
            </w:pPr>
            <w:r w:rsidRPr="00D601C9">
              <w:rPr>
                <w:rFonts w:ascii="Times New Roman" w:eastAsia="Calibri" w:hAnsi="Times New Roman" w:cs="Times New Roman"/>
                <w:sz w:val="24"/>
                <w:szCs w:val="24"/>
                <w:lang w:val="nl-NL"/>
              </w:rPr>
              <w:t>Kiểm tra về Quản lý rủi ro (sự an toàn và lành mạnh)</w:t>
            </w:r>
          </w:p>
          <w:p w14:paraId="0CEF6B28" w14:textId="77777777" w:rsidR="00ED72CB" w:rsidRPr="00D601C9" w:rsidRDefault="00ED72CB" w:rsidP="00ED72CB">
            <w:pPr>
              <w:spacing w:after="120" w:line="276" w:lineRule="auto"/>
              <w:jc w:val="both"/>
              <w:rPr>
                <w:rFonts w:ascii="Times New Roman" w:eastAsia="Calibri" w:hAnsi="Times New Roman" w:cs="Times New Roman"/>
                <w:sz w:val="24"/>
                <w:szCs w:val="24"/>
                <w:lang w:val="nl-NL"/>
              </w:rPr>
            </w:pPr>
            <w:r w:rsidRPr="00D601C9">
              <w:rPr>
                <w:rFonts w:ascii="Times New Roman" w:eastAsia="Calibri" w:hAnsi="Times New Roman" w:cs="Times New Roman"/>
                <w:sz w:val="24"/>
                <w:szCs w:val="24"/>
                <w:lang w:val="nl-NL"/>
              </w:rPr>
              <w:t>Kiểm tra sự tuân thủ: Các quy định về Luật bảo vệ người tiêu dùng, Luật Tái đầu tư cộng đồng (CRA)</w:t>
            </w:r>
          </w:p>
          <w:p w14:paraId="57EEA72F" w14:textId="77777777" w:rsidR="00ED72CB" w:rsidRPr="00D601C9" w:rsidRDefault="00ED72CB" w:rsidP="00ED72CB">
            <w:pPr>
              <w:spacing w:after="120" w:line="276" w:lineRule="auto"/>
              <w:jc w:val="both"/>
              <w:rPr>
                <w:rFonts w:ascii="Times New Roman" w:eastAsia="Calibri" w:hAnsi="Times New Roman" w:cs="Times New Roman"/>
                <w:sz w:val="24"/>
                <w:szCs w:val="24"/>
                <w:lang w:val="nl-NL"/>
              </w:rPr>
            </w:pPr>
            <w:r w:rsidRPr="00D601C9">
              <w:rPr>
                <w:rFonts w:ascii="Times New Roman" w:eastAsia="Calibri" w:hAnsi="Times New Roman" w:cs="Times New Roman"/>
                <w:sz w:val="24"/>
                <w:szCs w:val="24"/>
                <w:lang w:val="nl-NL"/>
              </w:rPr>
              <w:t>Đánh giá khả năng tiếp cận tín dụng của công chúng</w:t>
            </w:r>
          </w:p>
          <w:p w14:paraId="7990A51D" w14:textId="77777777" w:rsidR="00ED72CB" w:rsidRPr="00D601C9" w:rsidRDefault="00ED72CB" w:rsidP="00ED72CB">
            <w:pPr>
              <w:spacing w:after="120" w:line="276" w:lineRule="auto"/>
              <w:jc w:val="both"/>
              <w:rPr>
                <w:rFonts w:ascii="Times New Roman" w:eastAsia="Calibri" w:hAnsi="Times New Roman" w:cs="Times New Roman"/>
                <w:sz w:val="24"/>
                <w:szCs w:val="24"/>
                <w:lang w:val="nl-NL"/>
              </w:rPr>
            </w:pPr>
            <w:r w:rsidRPr="00D601C9">
              <w:rPr>
                <w:rFonts w:ascii="Times New Roman" w:eastAsia="Calibri" w:hAnsi="Times New Roman" w:cs="Times New Roman"/>
                <w:sz w:val="24"/>
                <w:szCs w:val="24"/>
                <w:lang w:val="nl-NL"/>
              </w:rPr>
              <w:t>Kiểm tra chuyên môn: liên quan đến các chính sách và cách thức quản lý của tổ chức tài chính trong hoạt động ủy thác của các ngân hàng do FDIC chịu trách nhiệm là cơ quan giám sát liên bang chính; Luật bảo mật ngân hàng/phòng chống rửa tiền, công nghệ thông tin với các cơ quan giám sát ngân hàng cấp bang; kiểm tra CNTT...</w:t>
            </w:r>
          </w:p>
          <w:p w14:paraId="3D1B5115" w14:textId="77777777" w:rsidR="00ED72CB" w:rsidRPr="00D601C9" w:rsidRDefault="00ED72CB" w:rsidP="00ED72CB">
            <w:pPr>
              <w:spacing w:after="120" w:line="276" w:lineRule="auto"/>
              <w:jc w:val="both"/>
              <w:rPr>
                <w:rFonts w:ascii="Times New Roman" w:eastAsia="Calibri" w:hAnsi="Times New Roman" w:cs="Times New Roman"/>
                <w:sz w:val="24"/>
                <w:szCs w:val="24"/>
                <w:lang w:val="nl-NL"/>
              </w:rPr>
            </w:pPr>
            <w:r w:rsidRPr="00D601C9">
              <w:rPr>
                <w:rFonts w:ascii="Times New Roman" w:eastAsia="SimSun" w:hAnsi="Times New Roman" w:cs="Times New Roman"/>
                <w:sz w:val="24"/>
                <w:szCs w:val="24"/>
              </w:rPr>
              <w:t>Kiểm tra đặc biệt bất kỳ tổ chức nhận tiền gửi được bảo hiểm hoặc công ty tài chính phi ngân hàng vì mục đích thực hiện nhiệm vụ bảo hiểm tiền gửi hoặc thanh lý có trật tự.</w:t>
            </w:r>
          </w:p>
        </w:tc>
        <w:tc>
          <w:tcPr>
            <w:tcW w:w="758" w:type="pct"/>
          </w:tcPr>
          <w:p w14:paraId="5C025CBB" w14:textId="77777777" w:rsidR="00ED72CB" w:rsidRPr="00D601C9" w:rsidRDefault="00ED72CB" w:rsidP="00ED72CB">
            <w:pPr>
              <w:spacing w:after="120" w:line="276" w:lineRule="auto"/>
              <w:jc w:val="both"/>
              <w:rPr>
                <w:rFonts w:ascii="Times New Roman" w:eastAsia="Calibri" w:hAnsi="Times New Roman" w:cs="Times New Roman"/>
                <w:sz w:val="24"/>
                <w:szCs w:val="24"/>
                <w:lang w:val="nl-NL"/>
              </w:rPr>
            </w:pPr>
            <w:r w:rsidRPr="00D601C9">
              <w:rPr>
                <w:rFonts w:ascii="Times New Roman" w:eastAsia="Calibri" w:hAnsi="Times New Roman" w:cs="Times New Roman"/>
                <w:sz w:val="24"/>
                <w:szCs w:val="24"/>
                <w:lang w:val="nl-NL"/>
              </w:rPr>
              <w:t>Giảm thiểu rủi ro</w:t>
            </w:r>
          </w:p>
        </w:tc>
      </w:tr>
      <w:tr w:rsidR="00ED72CB" w:rsidRPr="00D601C9" w14:paraId="20EF9DC0" w14:textId="77777777" w:rsidTr="00ED72CB">
        <w:trPr>
          <w:trHeight w:val="964"/>
        </w:trPr>
        <w:tc>
          <w:tcPr>
            <w:tcW w:w="857" w:type="pct"/>
          </w:tcPr>
          <w:p w14:paraId="2D95720E" w14:textId="77777777" w:rsidR="00ED72CB" w:rsidRPr="00D601C9" w:rsidRDefault="00ED72CB" w:rsidP="00ED72CB">
            <w:pPr>
              <w:spacing w:after="120" w:line="276" w:lineRule="auto"/>
              <w:jc w:val="center"/>
              <w:rPr>
                <w:rFonts w:ascii="Times New Roman" w:eastAsia="Calibri" w:hAnsi="Times New Roman" w:cs="Times New Roman"/>
                <w:sz w:val="24"/>
                <w:szCs w:val="24"/>
                <w:lang w:val="nl-NL"/>
              </w:rPr>
            </w:pPr>
            <w:r w:rsidRPr="00D601C9">
              <w:rPr>
                <w:rFonts w:ascii="Times New Roman" w:eastAsia="Calibri" w:hAnsi="Times New Roman" w:cs="Times New Roman"/>
                <w:sz w:val="24"/>
                <w:szCs w:val="24"/>
                <w:lang w:val="nl-NL"/>
              </w:rPr>
              <w:t>CDIC (Canada)</w:t>
            </w:r>
          </w:p>
        </w:tc>
        <w:tc>
          <w:tcPr>
            <w:tcW w:w="3386" w:type="pct"/>
          </w:tcPr>
          <w:p w14:paraId="59454F5D" w14:textId="77777777" w:rsidR="00ED72CB" w:rsidRPr="00D601C9" w:rsidRDefault="00ED72CB" w:rsidP="00ED72CB">
            <w:pPr>
              <w:spacing w:after="120" w:line="276" w:lineRule="auto"/>
              <w:jc w:val="both"/>
              <w:rPr>
                <w:rFonts w:ascii="Times New Roman" w:eastAsia="Calibri" w:hAnsi="Times New Roman" w:cs="Times New Roman"/>
                <w:sz w:val="24"/>
                <w:szCs w:val="24"/>
                <w:lang w:val="nl-NL"/>
              </w:rPr>
            </w:pPr>
            <w:r w:rsidRPr="00D601C9">
              <w:rPr>
                <w:rFonts w:ascii="Times New Roman" w:hAnsi="Times New Roman" w:cs="Times New Roman"/>
                <w:sz w:val="24"/>
                <w:szCs w:val="24"/>
              </w:rPr>
              <w:t>Kiểm tra tính tuân thủ các quy định của Luật có liên quan (VD Luật QTD), Kiểm tra quản trị nội bộ và tình hình tài chính của tổ chức thành viên</w:t>
            </w:r>
          </w:p>
        </w:tc>
        <w:tc>
          <w:tcPr>
            <w:tcW w:w="758" w:type="pct"/>
          </w:tcPr>
          <w:p w14:paraId="5302792D" w14:textId="77777777" w:rsidR="00ED72CB" w:rsidRPr="00D601C9" w:rsidRDefault="00ED72CB" w:rsidP="00ED72CB">
            <w:pPr>
              <w:spacing w:after="120" w:line="276" w:lineRule="auto"/>
              <w:jc w:val="both"/>
              <w:rPr>
                <w:rFonts w:ascii="Times New Roman" w:eastAsia="Calibri" w:hAnsi="Times New Roman" w:cs="Times New Roman"/>
                <w:sz w:val="24"/>
                <w:szCs w:val="24"/>
                <w:lang w:val="nl-NL"/>
              </w:rPr>
            </w:pPr>
            <w:r w:rsidRPr="00D601C9">
              <w:rPr>
                <w:rFonts w:ascii="Times New Roman" w:eastAsia="Calibri" w:hAnsi="Times New Roman" w:cs="Times New Roman"/>
                <w:sz w:val="24"/>
                <w:szCs w:val="24"/>
                <w:lang w:val="nl-NL"/>
              </w:rPr>
              <w:t>Giảm thiểu tổn thất</w:t>
            </w:r>
          </w:p>
        </w:tc>
      </w:tr>
    </w:tbl>
    <w:p w14:paraId="23837F88" w14:textId="77777777" w:rsidR="00ED72CB" w:rsidRDefault="00ED72CB" w:rsidP="00ED72CB">
      <w:pPr>
        <w:spacing w:after="120" w:line="276" w:lineRule="auto"/>
        <w:ind w:firstLine="720"/>
        <w:jc w:val="both"/>
        <w:rPr>
          <w:rFonts w:ascii="Times New Roman" w:eastAsia="Calibri" w:hAnsi="Times New Roman" w:cs="Times New Roman"/>
          <w:color w:val="000000"/>
          <w:sz w:val="28"/>
          <w:szCs w:val="28"/>
          <w:lang w:eastAsia="zh-CN"/>
        </w:rPr>
      </w:pPr>
    </w:p>
    <w:p w14:paraId="06C04167" w14:textId="77777777" w:rsidR="00ED72CB" w:rsidRPr="00D601C9" w:rsidRDefault="00ED72CB" w:rsidP="00ED72CB">
      <w:pPr>
        <w:spacing w:after="120" w:line="276" w:lineRule="auto"/>
        <w:ind w:firstLine="720"/>
        <w:jc w:val="both"/>
        <w:rPr>
          <w:rFonts w:ascii="Times New Roman" w:eastAsia="Calibri" w:hAnsi="Times New Roman" w:cs="Times New Roman"/>
          <w:color w:val="000000"/>
          <w:sz w:val="28"/>
          <w:szCs w:val="28"/>
          <w:lang w:eastAsia="zh-CN"/>
        </w:rPr>
      </w:pPr>
      <w:r w:rsidRPr="00D601C9">
        <w:rPr>
          <w:rFonts w:ascii="Times New Roman" w:eastAsia="Calibri" w:hAnsi="Times New Roman" w:cs="Times New Roman"/>
          <w:color w:val="000000"/>
          <w:sz w:val="28"/>
          <w:szCs w:val="28"/>
          <w:lang w:eastAsia="zh-CN"/>
        </w:rPr>
        <w:t>Theo kết quả khảo sát thường niên của IADI, năm 2024, có 49/106 tổ chức BHTG tiến hành kiểm tra tại chỗ nhằm xác nhận tính chính xác của hồ sơ tiền gửi. Ngoài ra, tính chính xác của hồ sơ tiền gửi còn được các tổ chức BHTG xác nhận thông qua các hình thức khác: kiểm tra từ xa (off-site inspection), báo cáo của cơ quan giám sát/ cơ quan quản lý, kết quả xác nhận của cơ quan giám sát hoặc từ đơn vị kiểm toán (có 75 tổ chức BHTG xác nhận thông qua các hình thức này).</w:t>
      </w:r>
    </w:p>
    <w:p w14:paraId="1899BA5A" w14:textId="77777777" w:rsidR="00ED72CB" w:rsidRPr="00D601C9" w:rsidRDefault="00ED72CB" w:rsidP="00ED72CB">
      <w:pPr>
        <w:spacing w:after="120" w:line="276" w:lineRule="auto"/>
        <w:jc w:val="center"/>
        <w:rPr>
          <w:rFonts w:ascii="Times New Roman" w:eastAsia="Calibri" w:hAnsi="Times New Roman" w:cs="Times New Roman"/>
          <w:color w:val="000000"/>
          <w:sz w:val="28"/>
          <w:szCs w:val="28"/>
          <w:highlight w:val="green"/>
          <w:lang w:eastAsia="zh-CN"/>
        </w:rPr>
      </w:pPr>
      <w:r w:rsidRPr="004E30A9">
        <w:rPr>
          <w:rFonts w:ascii="Times New Roman" w:eastAsia="Calibri" w:hAnsi="Times New Roman" w:cs="Times New Roman"/>
          <w:noProof/>
          <w:color w:val="000000"/>
          <w:sz w:val="28"/>
          <w:szCs w:val="28"/>
        </w:rPr>
        <w:lastRenderedPageBreak/>
        <w:drawing>
          <wp:inline distT="0" distB="0" distL="0" distR="0" wp14:anchorId="602E5DB4" wp14:editId="6DCDA61E">
            <wp:extent cx="5238750" cy="2609850"/>
            <wp:effectExtent l="0" t="0" r="0" b="0"/>
            <wp:docPr id="576957787"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5C8ECF6F" w14:textId="77777777" w:rsidR="00ED72CB" w:rsidRPr="00D601C9" w:rsidRDefault="00ED72CB" w:rsidP="00ED72CB">
      <w:pPr>
        <w:spacing w:after="120" w:line="276" w:lineRule="auto"/>
        <w:jc w:val="center"/>
        <w:rPr>
          <w:rFonts w:ascii="Times New Roman" w:eastAsia="Calibri" w:hAnsi="Times New Roman" w:cs="Times New Roman"/>
          <w:i/>
          <w:iCs/>
          <w:color w:val="000000"/>
          <w:sz w:val="28"/>
          <w:szCs w:val="28"/>
          <w:lang w:eastAsia="zh-CN"/>
        </w:rPr>
      </w:pPr>
      <w:r w:rsidRPr="00D601C9">
        <w:rPr>
          <w:rFonts w:ascii="Times New Roman" w:eastAsia="Calibri" w:hAnsi="Times New Roman" w:cs="Times New Roman"/>
          <w:i/>
          <w:iCs/>
          <w:color w:val="000000"/>
          <w:sz w:val="28"/>
          <w:szCs w:val="28"/>
          <w:lang w:eastAsia="zh-CN"/>
        </w:rPr>
        <w:t>Nguồn: Tổng hợp kết quả khảo sát thường niên của IADI (2020-2024)</w:t>
      </w:r>
    </w:p>
    <w:p w14:paraId="249E13AA" w14:textId="77777777" w:rsidR="00BD74B2" w:rsidRPr="004E30A9" w:rsidRDefault="00BD74B2" w:rsidP="004B2F00">
      <w:pPr>
        <w:spacing w:before="120" w:after="120" w:line="288" w:lineRule="auto"/>
        <w:jc w:val="both"/>
        <w:rPr>
          <w:rFonts w:ascii="Times New Roman" w:hAnsi="Times New Roman" w:cs="Times New Roman"/>
          <w:sz w:val="26"/>
          <w:szCs w:val="26"/>
        </w:rPr>
      </w:pPr>
      <w:bookmarkStart w:id="19" w:name="_Toc191974776"/>
      <w:r w:rsidRPr="004E30A9">
        <w:rPr>
          <w:rFonts w:ascii="Times New Roman" w:hAnsi="Times New Roman" w:cs="Times New Roman"/>
          <w:sz w:val="26"/>
          <w:szCs w:val="26"/>
        </w:rPr>
        <w:t xml:space="preserve">          Thực tiễn quốc tế cho thấy, kiểm tra tại chỗ là công cụ quan trọng giúp các tổ chức BHTG thực hiện hiệu quả nhiệm vụ bảo vệ người gửi tiền và duy trì ổn định tài chính. Về hình thức, tùy thuộc vào khuôn khổ pháp lý quốc gia, tổ chức BHTG có thể trực tiếp tiến hành kiểm tra ngân hàng (như FDIC, KDIC, PIDM) hoặc gián tiếp thông qua phối hợp với cơ quan giám sát/quản lý ngân hàng (như DICJ, CDIC Taiwan, IDIC). Dù bằng cách nào, việc tiếp cận, xác minh thông tin chi tiết tại chỗ cũng giúp tổ chức BHTG đánh giá chính xác rủi ro, chuẩn bị kịch bản xử lý phù hợp và hạn chế tối đa tổn thất cho quỹ bảo hiểm cũng như cho nền kinh tế. </w:t>
      </w:r>
    </w:p>
    <w:p w14:paraId="055C4B22" w14:textId="77777777" w:rsidR="00BD74B2" w:rsidRPr="004E30A9" w:rsidRDefault="00BD74B2" w:rsidP="004B2F00">
      <w:pPr>
        <w:spacing w:before="120" w:after="120" w:line="288" w:lineRule="auto"/>
        <w:ind w:firstLine="720"/>
        <w:jc w:val="both"/>
        <w:rPr>
          <w:rFonts w:ascii="Times New Roman" w:hAnsi="Times New Roman" w:cs="Times New Roman"/>
          <w:sz w:val="26"/>
          <w:szCs w:val="26"/>
        </w:rPr>
      </w:pPr>
      <w:r w:rsidRPr="004E30A9">
        <w:rPr>
          <w:rFonts w:ascii="Times New Roman" w:eastAsia="Arial" w:hAnsi="Times New Roman" w:cs="Times New Roman"/>
          <w:sz w:val="26"/>
          <w:szCs w:val="26"/>
        </w:rPr>
        <w:t xml:space="preserve">Về nội dung kiểm tra: hoạt động kiểm tra tại chỗ của tổ chức BHTG quốc tế nói chung chủ yếu nhằm mục tiêu xác minh hồ sơ người gửi tiền. Tuy nhiên, tùy thuộc vào mô hình tổ chức, thẩm quyền, chức năng và mục tiêu của tổ chức BHTG mà một số tỏ chức độc lập, chủ động trong việc kiểm tra tổ chức (FDIC) hoặc còn được giao trực tiếp kiểm tra một nội dung liên quan đến kiểm tra an toàn của tổ chức (KDIC, DICJ, …) hoặc được ủy quyền/ phối hợp kiểm tra đối với một số tổ chức theo chỉ đạo (CDIC Taiwan). Việc phối hợp kiểm tra giữa tổ chức BHTG với các cơ quan chịu trách nhiệm giám sát chính của tổ chức thành viên </w:t>
      </w:r>
      <w:r w:rsidRPr="004E30A9">
        <w:rPr>
          <w:rFonts w:ascii="Times New Roman" w:eastAsia="SimSun" w:hAnsi="Times New Roman" w:cs="Times New Roman"/>
          <w:color w:val="000000"/>
          <w:sz w:val="26"/>
          <w:szCs w:val="26"/>
        </w:rPr>
        <w:t>phối còn để giảm thiểu chi phí kiểm tra (FDIC) và tránh chồng chéo trong kế hoạch kiểm tra.</w:t>
      </w:r>
    </w:p>
    <w:p w14:paraId="13B22D4B" w14:textId="77777777" w:rsidR="00BD74B2" w:rsidRPr="004E30A9" w:rsidRDefault="00BD74B2" w:rsidP="004B2F00">
      <w:pPr>
        <w:spacing w:before="120" w:after="120" w:line="288" w:lineRule="auto"/>
        <w:ind w:firstLine="720"/>
        <w:jc w:val="both"/>
        <w:rPr>
          <w:rFonts w:ascii="Times New Roman" w:hAnsi="Times New Roman" w:cs="Times New Roman"/>
          <w:sz w:val="26"/>
          <w:szCs w:val="26"/>
        </w:rPr>
      </w:pPr>
      <w:r w:rsidRPr="004E30A9">
        <w:rPr>
          <w:rFonts w:ascii="Times New Roman" w:eastAsia="Arial" w:hAnsi="Times New Roman" w:cs="Times New Roman"/>
          <w:sz w:val="26"/>
          <w:szCs w:val="26"/>
        </w:rPr>
        <w:t xml:space="preserve">Về tần suất kiểm tra: Hoạt động kiểm tra thực hiện đối với toàn bộ hoặc một số các tổ chức tài chính được bảo hiểm khi cần thiết được theo hình thức định kỳ hoặc đột xuất (đặc biệt) khi cần thiết. </w:t>
      </w:r>
    </w:p>
    <w:p w14:paraId="348B0806" w14:textId="35805423" w:rsidR="00BD74B2" w:rsidRPr="004E30A9" w:rsidRDefault="00BD74B2" w:rsidP="004B2F00">
      <w:pPr>
        <w:spacing w:before="120" w:after="120" w:line="288" w:lineRule="auto"/>
        <w:ind w:firstLine="720"/>
        <w:jc w:val="both"/>
        <w:rPr>
          <w:rFonts w:ascii="Times New Roman" w:hAnsi="Times New Roman" w:cs="Times New Roman"/>
          <w:sz w:val="26"/>
          <w:szCs w:val="26"/>
        </w:rPr>
      </w:pPr>
      <w:r w:rsidRPr="004E30A9">
        <w:rPr>
          <w:rFonts w:ascii="Times New Roman" w:hAnsi="Times New Roman" w:cs="Times New Roman"/>
          <w:sz w:val="26"/>
          <w:szCs w:val="26"/>
        </w:rPr>
        <w:t>Những kinh nghiệm từ FDIC, KDIC, DICJ, CDIC, PIDM, IDIC góp phần định hình các thông lệ tốt nhất về kiểm tra, giám sát ngân hàng trong mạng an toàn tài chính, là cơ sở tham khảo tốt để hoàn thiện khuôn khổ Luật cho hoạt động của BHTGVN và các nước.</w:t>
      </w:r>
    </w:p>
    <w:bookmarkEnd w:id="19"/>
    <w:p w14:paraId="5128314B" w14:textId="0100D64D" w:rsidR="00BD74B2" w:rsidRDefault="004B2F00" w:rsidP="004E30A9">
      <w:pPr>
        <w:pStyle w:val="Heading1"/>
        <w:spacing w:before="120" w:after="120" w:line="288" w:lineRule="auto"/>
        <w:ind w:firstLine="720"/>
        <w:rPr>
          <w:rFonts w:ascii="Times New Roman" w:hAnsi="Times New Roman" w:cs="Times New Roman"/>
          <w:b/>
          <w:color w:val="auto"/>
          <w:sz w:val="28"/>
          <w:szCs w:val="28"/>
        </w:rPr>
      </w:pPr>
      <w:r>
        <w:rPr>
          <w:rFonts w:ascii="Times New Roman" w:hAnsi="Times New Roman" w:cs="Times New Roman"/>
          <w:b/>
          <w:color w:val="auto"/>
          <w:sz w:val="28"/>
          <w:szCs w:val="28"/>
        </w:rPr>
        <w:lastRenderedPageBreak/>
        <w:t>III</w:t>
      </w:r>
      <w:r w:rsidR="00BD74B2">
        <w:rPr>
          <w:rFonts w:ascii="Times New Roman" w:hAnsi="Times New Roman" w:cs="Times New Roman"/>
          <w:b/>
          <w:color w:val="auto"/>
          <w:sz w:val="28"/>
          <w:szCs w:val="28"/>
        </w:rPr>
        <w:t>. Quy định cụ thể tại một số quốc gia</w:t>
      </w:r>
    </w:p>
    <w:p w14:paraId="36652DE3" w14:textId="77777777" w:rsidR="004B2F00" w:rsidRPr="009A00DA" w:rsidRDefault="004B2F00" w:rsidP="004E30A9">
      <w:pPr>
        <w:pStyle w:val="Heading2"/>
        <w:spacing w:before="120" w:after="120" w:line="288" w:lineRule="auto"/>
        <w:ind w:firstLine="720"/>
        <w:jc w:val="both"/>
        <w:rPr>
          <w:rFonts w:ascii="Times New Roman" w:hAnsi="Times New Roman"/>
          <w:b/>
          <w:color w:val="auto"/>
          <w:sz w:val="28"/>
          <w:szCs w:val="28"/>
        </w:rPr>
      </w:pPr>
      <w:r w:rsidRPr="009A00DA">
        <w:rPr>
          <w:rFonts w:ascii="Times New Roman" w:eastAsia="Calibri" w:hAnsi="Times New Roman"/>
          <w:b/>
          <w:color w:val="auto"/>
          <w:sz w:val="28"/>
          <w:szCs w:val="28"/>
        </w:rPr>
        <w:t>1. Tổng công ty BHTG Liên bang Mỹ (FDIC)</w:t>
      </w:r>
    </w:p>
    <w:p w14:paraId="629E1B22" w14:textId="77777777" w:rsidR="004B2F00" w:rsidRPr="009A00DA" w:rsidRDefault="004B2F00" w:rsidP="004E30A9">
      <w:pPr>
        <w:pStyle w:val="Heading3"/>
        <w:spacing w:before="120" w:after="120" w:line="288" w:lineRule="auto"/>
        <w:ind w:firstLine="720"/>
        <w:jc w:val="both"/>
        <w:rPr>
          <w:rFonts w:ascii="Times New Roman" w:hAnsi="Times New Roman"/>
          <w:i/>
        </w:rPr>
      </w:pPr>
      <w:r w:rsidRPr="009A00DA">
        <w:rPr>
          <w:rFonts w:ascii="Times New Roman" w:hAnsi="Times New Roman"/>
          <w:i/>
        </w:rPr>
        <w:t>1.1. Hoạt động kiểm tra theo quy định tại Luật</w:t>
      </w:r>
    </w:p>
    <w:p w14:paraId="6683C4A3"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i/>
          <w:sz w:val="28"/>
          <w:szCs w:val="28"/>
        </w:rPr>
        <w:t>1.1.1.</w:t>
      </w:r>
      <w:r w:rsidRPr="00D601C9">
        <w:rPr>
          <w:rFonts w:ascii="Times New Roman" w:hAnsi="Times New Roman" w:cs="Times New Roman"/>
          <w:sz w:val="28"/>
          <w:szCs w:val="28"/>
        </w:rPr>
        <w:t xml:space="preserve"> Theo quy định tại Luật BHTG Liên bang Mỹ, Chương 10 về Quản trị của FDIC quy định về hoạt động kiểm tra của FDIC như sau:</w:t>
      </w:r>
    </w:p>
    <w:p w14:paraId="681B8086"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(b) – KIỂM TRA</w:t>
      </w:r>
    </w:p>
    <w:p w14:paraId="021E7052"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(1) CHỈ ĐỊNH CƠ QUAN KIỂM TRA VÀ ĐẠI DIỆN GIẢI QUYẾT BỒI THƯỜNG CHO TỔ CHỨC ĐƯỢC BẢO HIỂM.—Hội đồng quản trị (HĐQT) sẽ tiến hành chỉ định cơ quan kiểm tra và đại diện giải quyết bồi thường cho tổ chức được bảo hiểm.</w:t>
      </w:r>
    </w:p>
    <w:p w14:paraId="64C7B2E2"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(2) KIỂM TRA ĐỊNH KỲ.-- Bất kỳ cơ quan kiểm tra được chỉ định căn cứ tại tiểu mục (1) sẽ có quyền thay mặt FDIC để kiểm tra/giám sát--</w:t>
      </w:r>
    </w:p>
    <w:p w14:paraId="5C2671AD"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(A) bất kỳ ngân hàng phi thành viên cấp tiểu Bang được bảo hiểm , hoặc ngân hàng nước ngoài có chi nhánh cấp Tiểu bang được bảo hiểm;</w:t>
      </w:r>
    </w:p>
    <w:p w14:paraId="49E3E811"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(B) bất kỳ tổ chức nhận tiền gửi nào nộp đơn đăng ký với FDIC để trở thành tổ chức nhận tiền gửi được bảo hiểm; và</w:t>
      </w:r>
    </w:p>
    <w:p w14:paraId="474AB56F"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(C) bất kỳ tổ chức nhận tiền gửi được bảo hiểm nào mất khả năng thanh toán,</w:t>
      </w:r>
    </w:p>
    <w:p w14:paraId="181F3453"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(D) bất cứ khi nào Hội đồng quản trị xác định việc thẩm định mọi tổ chức nhận tiền gửi là cần thiết.</w:t>
      </w:r>
    </w:p>
    <w:p w14:paraId="00271532"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(3) KIỂM TRA ĐẶC BIỆT ĐỐI VỚI BẤT KỲ TỔ CHỨC NHẬN TIỀN GỬI ĐƯỢC BẢO HIỂM.--</w:t>
      </w:r>
    </w:p>
    <w:p w14:paraId="7664C5C0"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 xml:space="preserve">(A) TỔNG QUÁT.-- Ngoài các kỳ kiểm tra được ủy quyền tại tiểu mục (2), bất kỳ cơ quan kiểm tra nào được chỉ định theo tiểu mục (1), thay mặt cho FDIC, sẽ có quyền triển khai mọi kiểm tra đặc biệt đối với các tổ chức nhận tiền gửi được bảo hiểm hoặc tổ chức tín dụng phi ngân hàng được giám sát bởi HĐQT hoặc công ty sở hữu ngân hàng tại chương 165(a) - Luật ổn định tài chính năm 2010 bất cứ khi nào HĐQT xác định rằng việc kiểm tra đặc biệt của bất kỳ tổ chức nhận tiền gửi nào rất cần thiết để xác định được tình trạng của tổ chức đó đối với các mục đích bảo hiểm, hoặc điều kiện của công ty tín dụng phi ngân hàng được quản lý bởi Hội đồng Thống đốc hoặc công ty sở hữu ngân hàng tại chương 165(a) – Luật ổn định tài chính năm 2010 đối với mục đích thi hành thẩm quyền để cung cấp thanh lý trật tự cho bất kỳ công ty nào </w:t>
      </w:r>
      <w:r w:rsidRPr="00D601C9">
        <w:rPr>
          <w:rFonts w:ascii="Times New Roman" w:hAnsi="Times New Roman" w:cs="Times New Roman"/>
          <w:sz w:val="28"/>
          <w:szCs w:val="28"/>
        </w:rPr>
        <w:lastRenderedPageBreak/>
        <w:t xml:space="preserve">tại Tiêu đề II của Luật đó; miễn là thẩm quyền đó sẽ không được áp dụng đối với các công ty đang trong tình trạng an toàn nói chung. </w:t>
      </w:r>
    </w:p>
    <w:p w14:paraId="13034580"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(B) GIỚI HẠN.-- Trước khi triển khai một cuộc kiểm tra đặc biệt đối với một công ty tín dụng phi ngân hàng được giám sát bởi HĐQT hoặc một công ty sở hữu ngân hàng tại chương 165 (a) theo Luật Ổn định Tài chính năm 2010, FDIC sẽ rà soát lại bất kỳ kế hoạch giải quyết nào có thể được xem xét và chấp nhận mà FDIC đã đệ trình theo chương 165(d) của Đạo luật đó trùng khớp với hiệu lực không ràng buộc của kế hoạch đó và các báo cáo kiểm tra hiện có, và FDIC sẽ phối hợp trong phạm vi tối đa có thể thực hiện được với Hội đồng Thống đốc để giảm thiểu các cuộc kiểm tra trùng lặp hoặc xung đột.</w:t>
      </w:r>
    </w:p>
    <w:p w14:paraId="7F8DECD4"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(4) KIỂM TRA CÁC CÔNG TY CON/ĐƠN VỊ PHỤ THUỘC CỦA TỔ CHỨC.--</w:t>
      </w:r>
    </w:p>
    <w:p w14:paraId="02C37D1A"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(A) TỔNG QUÁT.-- Khi triển khai bất kỳ kiểm tra nào theo tiểu mục (2) hoặc (3), mọi cơ quan kiểm tra được chỉ định theo tiểu mục (1) sẽ có quyền thay mặt cho FDIC để thực hiện giám sát các công việc của bất cứ công ty con/đơn vị phụ thuộc của tổ chức nhận tiền gửi nào bởi việc triển khai đó rất cần thiết trong việc tìm ra đầy đủ--</w:t>
      </w:r>
    </w:p>
    <w:p w14:paraId="20A2FA21"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(i) mối quan hệ giữa tổ chức nhận tiền gửi và công ty con/đơn vị phụ thuộc đó; và</w:t>
      </w:r>
    </w:p>
    <w:p w14:paraId="276299DC"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(ii) tác động của mối quan hệ đó đối với tổ chức nhận tiền gửi.</w:t>
      </w:r>
    </w:p>
    <w:p w14:paraId="0CB55D8C"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 xml:space="preserve">(B) CAM KẾT BỞI CÁC NGÂN HÀNG NƯỚC NGOÀI ĐỂ CHO PHÉP KIỂM TRA ĐỐI VỚI CÁC CÔNG TY CON/ĐƠN VỊ PHỤ THUỘC CỦA TỔ CHỨC.-- Không có chi nhánh hoặc công ty con của tổ chức nhận tiền gửi thuộc ngân hàng nước ngoài có thể trở thành tổ chức nhận tiền gửi được bảo hiểm nếu ngân hàng nước ngoài đó không đệ trình cam kết ràng buộc bằng văn bản cho HĐQT để cho phép triển khai bất kỳ kiểm tra nào đối với bất kỳ công ty con/đơn vị phụ thuộc củatổ chức thuộc chi nhánh đó hoặc thuộc công ty con của tổ chức nhận tiền gửi theo điều (A) trong phạm vi HĐQT nhận thấy cần thiết để tiến hành các mục đích của Đạo luật này. </w:t>
      </w:r>
    </w:p>
    <w:p w14:paraId="24D2886C"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(5) KIỂM TRA ĐỐI VỚI CÁC CHI NHÁNH CẤP TIỂU BANG ĐƯỢC BẢO HIỂM.-- HĐQT sẽ--</w:t>
      </w:r>
    </w:p>
    <w:p w14:paraId="3BC8526E"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 xml:space="preserve">(A) kếp hợp tiến hành kiểm tra các chi nhánh cấp Tiểu bang được bảo hiểm thuộc các ngân hàng nước ngoài với các kỳ kiểm tra do Hội đồng Thống đốc của Cục </w:t>
      </w:r>
      <w:r w:rsidRPr="00D601C9">
        <w:rPr>
          <w:rFonts w:ascii="Times New Roman" w:hAnsi="Times New Roman" w:cs="Times New Roman"/>
          <w:sz w:val="28"/>
          <w:szCs w:val="28"/>
        </w:rPr>
        <w:lastRenderedPageBreak/>
        <w:t>Dự trữ Liên bang tiến hành theo chương 7(c)(1) của Đạo luật Ngân hàng Quốc tế năm 1978; và</w:t>
      </w:r>
    </w:p>
    <w:p w14:paraId="0F0F0C79"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(B) tham gia vào các kỳ kiểm tra đồng thời tại một ngân hàng nước ngoài hoạt động tại Hoa Kỳ do HĐQT yêu cầu căn cứ theo chương đó trong phạm vi có thể.</w:t>
      </w:r>
    </w:p>
    <w:p w14:paraId="4F5E2E83"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(6) QUYỀN HẠN VÀ NGHĨA VỤ CỦA CƠ QUAN KIỂM TRA.-- Mỗi cơ quan kiểm tra được chỉ định theo tiểu mục (1) phải--</w:t>
      </w:r>
    </w:p>
    <w:p w14:paraId="6B2B260A"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(A) có quyền triển khai kiểm tra kỹ lưỡng đối với bất kỳ tổ chức nhận tiền gửi được bảo hiểm hoặc công ty con/đơn vị phụ thuộc củatổ chức nào tại tiểu mục (2), (3), (4) hoặc (5); và</w:t>
      </w:r>
    </w:p>
    <w:p w14:paraId="715F2E4A"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(B) sẽ báo cáo đầy đủ và chi tiết với FDIC về tình trạng của bất kỳ tổ chức nhận tiền gửi được bảo hiểm hoặc công ty con/đơn vị phụ thuộc của tổ chức được kiểm tra.</w:t>
      </w:r>
    </w:p>
    <w:p w14:paraId="6B7FB302" w14:textId="77777777" w:rsidR="004B2F00" w:rsidRPr="00D601C9" w:rsidRDefault="004B2F00" w:rsidP="004E30A9">
      <w:pPr>
        <w:spacing w:before="120" w:after="120" w:line="288" w:lineRule="auto"/>
        <w:jc w:val="both"/>
        <w:rPr>
          <w:rFonts w:ascii="Times New Roman" w:hAnsi="Times New Roman" w:cs="Times New Roman"/>
          <w:sz w:val="28"/>
          <w:szCs w:val="28"/>
        </w:rPr>
      </w:pPr>
      <w:r w:rsidRPr="00D601C9">
        <w:rPr>
          <w:rFonts w:ascii="Times New Roman" w:hAnsi="Times New Roman" w:cs="Times New Roman"/>
          <w:i/>
          <w:sz w:val="28"/>
          <w:szCs w:val="28"/>
        </w:rPr>
        <w:t>2.1.1.2.</w:t>
      </w:r>
      <w:r w:rsidRPr="00D601C9">
        <w:rPr>
          <w:rFonts w:ascii="Times New Roman" w:hAnsi="Times New Roman" w:cs="Times New Roman"/>
          <w:sz w:val="28"/>
          <w:szCs w:val="28"/>
        </w:rPr>
        <w:t xml:space="preserve"> Theo quy định tại Luật cải cách tài chính phố Wall - Dodd Frank, phần 165. tăng cường giám sát và nâng tiêu chuẩn an toàn đối với các công ty tài chính phi ngân hàng chịu sự giám sát của hội đồng thống đốc và đối với một số công ty sở hữu ngân hàng nhất định, quy định như sau: </w:t>
      </w:r>
    </w:p>
    <w:p w14:paraId="1D0343BF"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(8) Các quy tắc. – Không quá 18 tháng sau ngày ban hành Luật này, Hội đồng thống đốc và Tổng công ty sẽ cùng nhau ban hành những quy tắc cuối cùng để thực hiện tiểu phần này.</w:t>
      </w:r>
    </w:p>
    <w:p w14:paraId="214ABF25"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(i) Các cuộc kiểm tra sức chịu đựng. –</w:t>
      </w:r>
    </w:p>
    <w:p w14:paraId="4B93B03A"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(1) Do Hội đồng thống đốc thực hiện. –</w:t>
      </w:r>
    </w:p>
    <w:p w14:paraId="7BDC8D57"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(A) Yêu cầu các cuộc kiểm tra hàng năm. – Hội đồng thống đốc, phối hợp với các cơ quan quản lý tài chính chủ quản thích hợp và cơ quan Bảo hiểm Liên bang (thuộc Bộ Tài chính Mỹ), sẽ thực hiện những phân tích hàng năm mà theo đó các công ty tài chính phi ngân hàng chịu sự giám sát của Hội đồng Thống đốc và các công ty sở hữu ngân hàng được nêu tại Tiểu phần (a) sẽ trải qua một quá trình đánh giá mức độ đủ vốn, trên cơ sở tổng vốn hợp nhất, để đối phó với các khoản lỗ do các điều kiện kinh tế bất lợi.</w:t>
      </w:r>
    </w:p>
    <w:p w14:paraId="57272E80"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(B) Kiểm tra các tham số và hệ quả - Hội đồng thống đốc –</w:t>
      </w:r>
    </w:p>
    <w:p w14:paraId="152FD3EC"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(i) chịu trách nhiệm cung cấp ít nhất 3 bộ điều kiện đánh giá khác nhau theo yêu cầu đánh giá của tiểu mục này, bao gồm điều kiện cơ sở, điều kiện bất lợi và cực kỳ bất lợi;</w:t>
      </w:r>
    </w:p>
    <w:p w14:paraId="66E1BC08"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lastRenderedPageBreak/>
        <w:t>(ii) có thể yêu cầu kiểm tra như được nêu trong tiểu đoạn (A) đối với các công ty sở hữu ngân hàng và công ty tài chính phi ngân hàng, ngoài những tổ chức mà buộc phải kiểm tra hàng năm theo tiểu đoạn (A);</w:t>
      </w:r>
    </w:p>
    <w:p w14:paraId="7CF75AB1"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(iii) có thể xây dựng và áp dụng những kỹ thuật phân tích khác, nếu cần thiết, để xác định, đo lường và giám sát rủi ro đối với sự ổn định tài chính của Hoa Kỳ;</w:t>
      </w:r>
    </w:p>
    <w:p w14:paraId="385F25B2"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(iv) được quyền yêu cầu các công ty được mô tả trong tiểu đoạn (A) cập nhập kế hoạch xử lý theo yêu cầu ở Tiểu phần (d) (1), khi Hội đồng thống đốc xác định là thích hợp, căn cứ vào kết quả phân tích; và</w:t>
      </w:r>
    </w:p>
    <w:p w14:paraId="3535FEFF"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(v) có trách nhiệm công bố bản tóm tắt những kết quả của các cuộc kiểm tra theo yêu cầu ở tiểu đoạn (A) hoặc khoản (ii) của tiểu đoạn này.</w:t>
      </w:r>
    </w:p>
    <w:p w14:paraId="7384549A"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(2) Do công ty thực hiện. –</w:t>
      </w:r>
    </w:p>
    <w:p w14:paraId="36AE7B3A"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(A) Yêu cầu. – Một công ty tài chính phi ngân hàng chịu sự giám sát của Hội đồng Thống đốc và một công ty sở hữu ngân hàng được mô tả ở Tiểu phần (a) phải tiến hành kiểm tra sức chịu đựng 6 tháng/1 lần. Tất cả các công ty tài chính khác mà có tổng tài sản tổng hợp trên 10.000.000.000 đô la Mỹ và do cơ quan quản lý tài chính chủ chốt của Liên bang điều chỉnh phải tiến hành các cuộc kiểm tra sức chịu đựng hàng năm. Các cuộc kiểm tra được yêu cầu theo tiểu đoạn này phải được thực hiện theo những quy định được nêu trong tiểu đoạn(C).</w:t>
      </w:r>
    </w:p>
    <w:p w14:paraId="5EBA2D78"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(B) Báo cáo. – Một công ty được yêu cầu tiến hành các cuộc kiểm tra sức chịu đựng theo tiểu đoạn (A) phải nộp báo cáo cho Hội đồng thống đốc và cơ quan quản lý tài chính chủ chốt tại thời điểm, theo mẫu, và có những thông tin như cơ quan quản lý tài chính chủ chốt yêu cầu.</w:t>
      </w:r>
    </w:p>
    <w:p w14:paraId="276F46C9"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(C) Các quy định. – Mỗi cơ quan quản lý tài chính chủ chốt của Liên bang, phối hợp với Hội đồng thống đốc và Cơ quan Bảo hiểm Liên bang, chịu trách nhiệm ban hành các quy định nhất quán và tương thích để thực hiện mục này sẽ</w:t>
      </w:r>
    </w:p>
    <w:p w14:paraId="72FB5FF6"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(i) định nghĩa thuật ngữ “kiểm tra sức chịu đựng” trong phạm vi quy định của đoạn này;</w:t>
      </w:r>
    </w:p>
    <w:p w14:paraId="309D637E"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(ii) xây dựng những phương pháp luận cho việc tiến hành những cuộc kiểm tra sức chịu đựng theo yêu cầu của đoạn này cho ít nhất 3 bộ điều kiện khác nhau, bao gồm điều kiện cơ sở, điều kiện bất lợi và cực kỳ bất lợi;</w:t>
      </w:r>
    </w:p>
    <w:p w14:paraId="20FEADD2"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(iii) xây dựng hình thức và nội dung của báo cáo được yêu cầu ở tiểu đoạn (B); và</w:t>
      </w:r>
    </w:p>
    <w:p w14:paraId="655F0AFB"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lastRenderedPageBreak/>
        <w:t>(iv) yêu cầu các công ty được nêu trong đoạn này công bố báo cáo tóm tắt về những kết quả của các cuộc kiểm tra sức chịu đựng theo yêu cầu.</w:t>
      </w:r>
    </w:p>
    <w:p w14:paraId="0A353A25" w14:textId="77777777" w:rsidR="004B2F00" w:rsidRPr="009A00DA" w:rsidRDefault="004B2F00" w:rsidP="004E30A9">
      <w:pPr>
        <w:pStyle w:val="Heading3"/>
        <w:spacing w:before="120" w:after="120" w:line="288" w:lineRule="auto"/>
        <w:ind w:firstLine="720"/>
        <w:jc w:val="both"/>
        <w:rPr>
          <w:rFonts w:ascii="Times New Roman" w:hAnsi="Times New Roman"/>
          <w:i/>
        </w:rPr>
      </w:pPr>
      <w:r w:rsidRPr="009A00DA">
        <w:rPr>
          <w:rFonts w:ascii="Times New Roman" w:hAnsi="Times New Roman"/>
          <w:i/>
        </w:rPr>
        <w:t>1.2. Thẩm quyền kiểm tra tại chỗ</w:t>
      </w:r>
    </w:p>
    <w:p w14:paraId="370453B1"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FDIC là tổ chức BHTG tại Mỹ hoạt động theo mô hình giảm thiểu rủi ro. Luật pháp trao cho FDIC quyền thanh kiểm tra, giám sát các ngân hàng thành viên của hệ thống BHTG không phải là thành viên của Cục Dự trữ Liên bang - FED (thường được gọi là các tổ chức “không phải thành viên tiểu bang”). Tính đến ngày 31 tháng 12 năm 2023, FDIC là cơ quan quản lý liên bang chính đối với 2.946 tổ chức được bảo hiểm bởi FDIC. Với vai trò là cơ quan quản lý chính của các tổ chức này, FDIC đánh giá tình trạng hoạt động, thực tiễn và chính sách quản lý, cũng như việc tuân thủ các luật và quy định hiện hành thông qua kiểm tra quản lý rủi ro (an toàn và lành mạnh), tuân thủ bảo vệ người tiêu dùng, Đạo luật Tái đầu tư cộng đồng (CRA) và các cuộc kiểm tra chuyên môn khác.</w:t>
      </w:r>
    </w:p>
    <w:p w14:paraId="3C0B7442" w14:textId="77777777" w:rsidR="004B2F00"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Ngoài ra để tránh chồng chéo trong việc thực hiện chức năng kiểm tra, FDIC còn phối hợp kiểm tra chung với các cơ quan giám sát ngân hàng như Cục Dự trữ Liên bang (FRB) và Văn phòng Kiểm soát Tiền tệ (OCC) và các cơ quan giám sát ngân hàng bang. Các cuộc kiểm tra này tuân thủ hướng dẫn liên ngành do Hội đồng Kiểm tra Các Tổ chức Tài chính Liên bang (FFIEC) thiết lập. FDIC phối hợp chặt chẽ với các cơ quan này trong kế hoạch kiểm tra. Theo thỏa thuận, FDIC và cơ quan giám sát bang thường tiến hành kiểm tra chung đối với các ngân hàng do bang cấp phép, chia sẻ kết quả cho nhau. Hệ thống xếp hạng thống nhất (UFIRS) giúp các cơ quan thừa nhận kết quả kiểm tra của nhau, qua đó giảm thiểu trùng lặp và chi phí kiểm tra​.</w:t>
      </w:r>
    </w:p>
    <w:p w14:paraId="1E77E258" w14:textId="77777777" w:rsidR="004B2F00" w:rsidRPr="009A00DA" w:rsidRDefault="004B2F00" w:rsidP="004E30A9">
      <w:pPr>
        <w:pStyle w:val="Heading3"/>
        <w:spacing w:before="120" w:after="120" w:line="288" w:lineRule="auto"/>
        <w:ind w:firstLine="720"/>
        <w:jc w:val="both"/>
        <w:rPr>
          <w:rFonts w:ascii="Times New Roman" w:hAnsi="Times New Roman"/>
          <w:i/>
        </w:rPr>
      </w:pPr>
      <w:r w:rsidRPr="009A00DA">
        <w:rPr>
          <w:rFonts w:ascii="Times New Roman" w:hAnsi="Times New Roman"/>
          <w:i/>
        </w:rPr>
        <w:t>1.3. Nội dung kiểm tra</w:t>
      </w:r>
    </w:p>
    <w:p w14:paraId="7832FFB0"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FDIC thực hiện kiểm tra độc lập các tổ chức tham gia BHTG các nội dung chính bao gồm:</w:t>
      </w:r>
    </w:p>
    <w:p w14:paraId="57880C34"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 xml:space="preserve">(1) Kiểm tra quản lý rủi ro (Risk Management Examination/Safety and Soundness Examination): FDIC đánh giá tình hình tài chính và hoạt động của ngân hàng dựa trên hệ thống xếp hạng UFIRS, bao gồm các chỉ tiêu CAMELS (Vốn, Chất lượng tài sản, Khả năng quản lý, Khả năng sinh lời, Tính thanh khoản, Độ nhạy cảm với rủi ro thị trường). FDIC xác định nguyên nhân và mức độ nghiêm trọng của các vấn đề tại từng ngân hàng cũng như những rủi ro trong ngành dịch vụ tài chính. Việc xác định chính xác các rủi ro hiện tại và tiềm ẩn giúp FDIC xây dựng các biện pháp khắc phục hiệu quả cho từng tổ chức và các chiến lược giám sát tổng thể cho toàn ngành. </w:t>
      </w:r>
    </w:p>
    <w:p w14:paraId="19491E1B"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lastRenderedPageBreak/>
        <w:t>(2) Kiểm tra tuân thủ (Compliance Examination): FDIC kiểm tra việc tuân thủ các quy định liên bang về bảo vệ người tiêu dùng, Đạo luật Tái đầu tư cộng đồng (CRA) nhằm đánh giá chất lượng Hệ thống quản lý tuân thủ (CMS) của các tổ chức do FDIC giám sát  trong việc thực thi các đạo luật và quy định bảo vệ người tiêu dùng liên bang; Xem xét mức độ tuân thủ các luật và quy định liên quan; và thực hiện các biện pháp giám sát hiệu quả khi các yếu tố của CMS trong tổ chức bị thiếu sót và/hoặc khi phát hiện vi phạm pháp luật.</w:t>
      </w:r>
    </w:p>
    <w:p w14:paraId="2514A4E9"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(3) Kiểm tra chuyên môn (Specialty Examinations): FDIC thực hiện các cuộc kiểm tra chuyên môn phù hợp như một phần của kiểm tra quản lý rủi ro đối với từng tổ chức. Kết quả kiểm tra chuyên môn và các xếp hạng được chỉ định cho các lĩnh vực đó sẽ được xem xét, khi phù hợp, trong quá trình xác định xếp hạng thành phần và tổng hợp theo hệ thống UFIRS. Các lĩnh vực kiểm tra chuyên môn bao gồm: Đạo luật Bảo mật Ngân hàng (Bank Secrecy Act), Công nghệ thông tin (Information Technology - IT), Dịch vụ ủy thác (Bank’s Trust Operations), Đại lý Chứng khoán Chính phủ, Chống rửa tiền (AML) và tài trợ khủng bố…</w:t>
      </w:r>
    </w:p>
    <w:p w14:paraId="240753D7" w14:textId="77777777" w:rsidR="004B2F00" w:rsidRPr="00D601C9" w:rsidRDefault="004B2F00" w:rsidP="004E30A9">
      <w:pPr>
        <w:spacing w:before="120" w:after="120" w:line="288" w:lineRule="auto"/>
        <w:ind w:firstLine="720"/>
        <w:jc w:val="both"/>
        <w:rPr>
          <w:rFonts w:ascii="Times New Roman" w:eastAsia="SimSun" w:hAnsi="Times New Roman" w:cs="Times New Roman"/>
          <w:sz w:val="28"/>
          <w:szCs w:val="28"/>
        </w:rPr>
      </w:pPr>
      <w:r w:rsidRPr="00D601C9">
        <w:rPr>
          <w:rFonts w:ascii="Times New Roman" w:eastAsia="SimSun" w:hAnsi="Times New Roman" w:cs="Times New Roman"/>
          <w:sz w:val="28"/>
          <w:szCs w:val="28"/>
        </w:rPr>
        <w:t>Ngoài ra, FDIC cũng tiến hành kiểm tra đặc biệt bất kỳ tổ chức nhận tiền gửi được bảo hiểm hoặc công ty tài chính phi ngân hàng vì mục đích thực hiện nhiệm vụ bảo hiểm tiền gửi hoặc thanh lý có trật tự.</w:t>
      </w:r>
    </w:p>
    <w:p w14:paraId="482826BD" w14:textId="77777777" w:rsidR="004B2F00" w:rsidRPr="00D601C9" w:rsidRDefault="004B2F00" w:rsidP="004E30A9">
      <w:pPr>
        <w:spacing w:before="120" w:after="120" w:line="288" w:lineRule="auto"/>
        <w:ind w:firstLine="720"/>
        <w:jc w:val="both"/>
        <w:rPr>
          <w:rFonts w:ascii="Times New Roman" w:eastAsia="SimSun" w:hAnsi="Times New Roman" w:cs="Times New Roman"/>
          <w:sz w:val="28"/>
          <w:szCs w:val="28"/>
        </w:rPr>
      </w:pPr>
      <w:r w:rsidRPr="00D601C9">
        <w:rPr>
          <w:rFonts w:ascii="Times New Roman" w:eastAsia="SimSun" w:hAnsi="Times New Roman" w:cs="Times New Roman"/>
          <w:sz w:val="28"/>
          <w:szCs w:val="28"/>
        </w:rPr>
        <w:t>Trong năm 2023, FDIC đã thực hiện 1.247 cuộc kiểm tra quản lý rủi ro theo quy định pháp luật và tiến hành tất cả các cuộc kiểm tra theo dõi bắt buộc đối với các tổ chức gặp vấn đề do FDIC giám sát trong khung thời gian quy định. FDIC cũng đã thực hiện 861 cuộc kiểm tra tuân thủ Đạo luật Tái đầu tư Cộng đồng (CRA) và bảo vệ người tiêu dùng theo quy định, bao gồm 675 cuộc kiểm tra kết hợp CRA và tuân thủ người tiêu dùng, 181 cuộc kiểm tra chỉ về tuân thủ người tiêu dùng và 5 cuộc kiểm tra chỉ về CRA. Ngoài ra, FDIC đã tiến hành 2.753 cuộc kiểm tra chuyên môn, bao gồm các đánh giá tuân thủ theo quy định pháp luật về Chống rửa tiền (AML) và Chống tài trợ khủng bố (CFT), trong thời hạn quy định.</w:t>
      </w:r>
    </w:p>
    <w:p w14:paraId="4762ED03" w14:textId="77777777" w:rsidR="004B2F00" w:rsidRPr="009A00DA" w:rsidRDefault="004B2F00" w:rsidP="004E30A9">
      <w:pPr>
        <w:pStyle w:val="Heading3"/>
        <w:spacing w:before="120" w:after="120" w:line="288" w:lineRule="auto"/>
        <w:ind w:firstLine="720"/>
        <w:jc w:val="both"/>
        <w:rPr>
          <w:rFonts w:ascii="Times New Roman" w:eastAsia="SimSun" w:hAnsi="Times New Roman"/>
          <w:i/>
        </w:rPr>
      </w:pPr>
      <w:r w:rsidRPr="009A00DA">
        <w:rPr>
          <w:rFonts w:ascii="Times New Roman" w:hAnsi="Times New Roman"/>
          <w:i/>
        </w:rPr>
        <w:t xml:space="preserve">1.4. </w:t>
      </w:r>
      <w:r w:rsidRPr="009A00DA">
        <w:rPr>
          <w:rFonts w:ascii="Times New Roman" w:eastAsia="SimSun" w:hAnsi="Times New Roman"/>
          <w:i/>
        </w:rPr>
        <w:t xml:space="preserve">Tần suất kiểm tra </w:t>
      </w:r>
    </w:p>
    <w:p w14:paraId="392B6974" w14:textId="77777777" w:rsidR="004B2F00" w:rsidRPr="00D601C9" w:rsidRDefault="004B2F00" w:rsidP="004E30A9">
      <w:pPr>
        <w:spacing w:before="120" w:after="120" w:line="288" w:lineRule="auto"/>
        <w:ind w:firstLine="720"/>
        <w:jc w:val="both"/>
        <w:rPr>
          <w:rFonts w:ascii="Times New Roman" w:eastAsia="SimSun" w:hAnsi="Times New Roman" w:cs="Times New Roman"/>
          <w:sz w:val="28"/>
          <w:szCs w:val="28"/>
        </w:rPr>
      </w:pPr>
      <w:r w:rsidRPr="00D601C9">
        <w:rPr>
          <w:rFonts w:ascii="Times New Roman" w:eastAsia="SimSun" w:hAnsi="Times New Roman" w:cs="Times New Roman"/>
          <w:sz w:val="28"/>
          <w:szCs w:val="28"/>
        </w:rPr>
        <w:t xml:space="preserve">Theo Mục 337.12 trong Quy tắc và Quy định của FDIC thực hiện Mục 10(d) của Luật BHTG quy định tất cả các ngân hàng thương mại không phải thành viên của hệ thống liên bang và các hiệp hội tiết kiệm cấp bang được bảo hiểm tiền gửi phải trải qua một cuộc kiểm tra toàn diện tại chỗ ít nhất một lần trong mỗi chu kỳ 12 tháng. Tuy nhiên, khoảng thời gian giữa các lần kiểm tra có thể được kéo dài lên 18 tháng nếu ngân hàng đáp ứng tất cả các điều kiện sau: (i) Tổng tài sản của ngân hàng dưới </w:t>
      </w:r>
      <w:r w:rsidRPr="00D601C9">
        <w:rPr>
          <w:rFonts w:ascii="Times New Roman" w:eastAsia="SimSun" w:hAnsi="Times New Roman" w:cs="Times New Roman"/>
          <w:sz w:val="28"/>
          <w:szCs w:val="28"/>
        </w:rPr>
        <w:lastRenderedPageBreak/>
        <w:t>3 tỷ đô la; (ii) Ngân hàng được xếp hạng vốn hóa tốt theo Mục 324.403(b)(1) của Quy tắc và Quy định FDIC; (iii) Thành phần quản lý của ngân hàng được xếp hạng 1 hoặc 2 trong lần kiểm tra gần nhất của FDIC hoặc cơ quan cấp bang có thẩm quyền; (iv) Xếp hạng tổng hợp của ngân hàng là 1 hoặc 2 trong lần kiểm tra gần nhất của FDIC hoặc cơ quan cấp bang có thẩm quyền; (v) Ngân hàng không thuộc diện bị biện pháp cưỡng chế chính thức hoặc lệnh giám sát của FDIC, Văn phòng Kiểm soát Tiền tệ (OCC), hoặc Hệ thống Dự trữ Liên bang; (vi) Không có cá nhân nào nắm quyền kiểm soát ngân hàng trong vòng 12 tháng trước đó (trong khoảng thời gian mà lẽ ra ngân hàng phải được kiểm tra toàn diện tại chỗ).</w:t>
      </w:r>
    </w:p>
    <w:p w14:paraId="5179470E" w14:textId="77777777" w:rsidR="004B2F00" w:rsidRPr="00D601C9" w:rsidRDefault="004B2F00" w:rsidP="004E30A9">
      <w:pPr>
        <w:spacing w:before="120" w:after="120" w:line="288" w:lineRule="auto"/>
        <w:ind w:firstLine="720"/>
        <w:jc w:val="both"/>
        <w:rPr>
          <w:rFonts w:ascii="Times New Roman" w:eastAsia="SimSun" w:hAnsi="Times New Roman" w:cs="Times New Roman"/>
          <w:sz w:val="28"/>
          <w:szCs w:val="28"/>
        </w:rPr>
      </w:pPr>
      <w:r w:rsidRPr="00D601C9">
        <w:rPr>
          <w:rFonts w:ascii="Times New Roman" w:eastAsia="SimSun" w:hAnsi="Times New Roman" w:cs="Times New Roman"/>
          <w:sz w:val="28"/>
          <w:szCs w:val="28"/>
        </w:rPr>
        <w:t>Những quy định này cũng áp dụng tương tự đối với các chi nhánh hoặc văn phòng đại diện của ngân hàng nước ngoài tại Hoa Kỳ có tổng tài sản dưới 3 tỷ USD, nếu văn phòng đó nhận được xếp hạng tổng hợp ROCA 1 hoặc 2 của Cục Dự trữ Liên bang trong lần kiểm tra gần nhất.</w:t>
      </w:r>
    </w:p>
    <w:p w14:paraId="34A7BB9A" w14:textId="77777777" w:rsidR="004B2F00" w:rsidRPr="009A00DA" w:rsidRDefault="004B2F00" w:rsidP="004E30A9">
      <w:pPr>
        <w:pStyle w:val="Heading3"/>
        <w:spacing w:before="120" w:after="120" w:line="288" w:lineRule="auto"/>
        <w:ind w:firstLine="720"/>
        <w:jc w:val="both"/>
        <w:rPr>
          <w:rFonts w:ascii="Times New Roman" w:eastAsia="SimSun" w:hAnsi="Times New Roman"/>
          <w:i/>
        </w:rPr>
      </w:pPr>
      <w:r w:rsidRPr="009A00DA">
        <w:rPr>
          <w:rFonts w:ascii="Times New Roman" w:eastAsia="SimSun" w:hAnsi="Times New Roman"/>
          <w:i/>
        </w:rPr>
        <w:t xml:space="preserve">1.5. Sự phối hợp với các cơ quan liên quan </w:t>
      </w:r>
    </w:p>
    <w:p w14:paraId="21D4E2C8" w14:textId="77777777" w:rsidR="004B2F00" w:rsidRPr="00D601C9" w:rsidRDefault="004B2F00" w:rsidP="004E30A9">
      <w:pPr>
        <w:spacing w:before="120" w:after="120" w:line="288" w:lineRule="auto"/>
        <w:ind w:firstLine="720"/>
        <w:jc w:val="both"/>
        <w:rPr>
          <w:rFonts w:ascii="Times New Roman" w:eastAsia="SimSun" w:hAnsi="Times New Roman" w:cs="Times New Roman"/>
          <w:sz w:val="28"/>
          <w:szCs w:val="28"/>
        </w:rPr>
      </w:pPr>
      <w:r w:rsidRPr="00D601C9">
        <w:rPr>
          <w:rFonts w:ascii="Times New Roman" w:eastAsia="SimSun" w:hAnsi="Times New Roman" w:cs="Times New Roman"/>
          <w:sz w:val="28"/>
          <w:szCs w:val="28"/>
        </w:rPr>
        <w:t>Để giảm thiểu sự tác động chồng chéo của các cuộc kiểm tra đối với hoạt động của các tổ chức nhận tiền gửi được bảo hiểm, mỗi cơ quan quản lý ngân hàng liên bang có thẩm quyền phải phối hợp các cuộc kiểm tra do cơ quan đó tiến hành tại một tổ chức nhận tiền gửi được bảo hiểm và các công ty liên kết của nó; ngoài ra phải phối hợp với các cơ quan quản lý ngân hàng liên bang khác trong việc thực hiện các cuộc kiểm tra; và làm việc để phối hợp với cơ quan giám sát ngân hàng bang có thẩm quyền. FDIC cũng sử dụng các bản sao của các báo cáo kiểm tra của các tổ chức nhận tiền gửi được bảo hiểm do bất kỳ cơ quan quản lý ngân hàng liên bang hoặc giám sát viên ngân hàng tiểu bang nào thực hiện để loại bỏ các yêu cầu trùng lặp về thông tin. Các cơ quan cũng được yêu cầu phải xác định cơ quan đầu mối chịu trách nhiệm quản lý việc kiểm tra hợp nhất của mỗi tổ chức nhận tiền gửi được bảo hiểm.</w:t>
      </w:r>
    </w:p>
    <w:p w14:paraId="7F0CD257" w14:textId="77777777" w:rsidR="004B2F00" w:rsidRPr="00D601C9" w:rsidRDefault="004B2F00" w:rsidP="004E30A9">
      <w:pPr>
        <w:spacing w:before="120" w:after="120" w:line="288" w:lineRule="auto"/>
        <w:jc w:val="both"/>
        <w:rPr>
          <w:rFonts w:ascii="Times New Roman" w:eastAsia="SimSun" w:hAnsi="Times New Roman" w:cs="Times New Roman"/>
          <w:sz w:val="28"/>
          <w:szCs w:val="28"/>
        </w:rPr>
      </w:pPr>
      <w:r w:rsidRPr="00D601C9">
        <w:rPr>
          <w:rFonts w:ascii="Times New Roman" w:eastAsia="SimSun" w:hAnsi="Times New Roman" w:cs="Times New Roman"/>
          <w:sz w:val="28"/>
          <w:szCs w:val="28"/>
        </w:rPr>
        <w:t>Tuy nhiên, mỗi cơ quan quản lý ngân hàng liên bang có thẩm quyền có thể tiến hành kiểm tra riêng biệt trong trường hợp khẩn cấp hoặc trong các tình huống cấp bách khác, hoặc khi cơ quan đó tin rằng có thể đã xảy ra vi phạm pháp luật.</w:t>
      </w:r>
    </w:p>
    <w:p w14:paraId="29EE62F2" w14:textId="77777777" w:rsidR="004B2F00" w:rsidRPr="009A00DA" w:rsidRDefault="004B2F00" w:rsidP="004E30A9">
      <w:pPr>
        <w:pStyle w:val="Heading2"/>
        <w:spacing w:before="120" w:after="120" w:line="288" w:lineRule="auto"/>
        <w:ind w:firstLine="720"/>
        <w:jc w:val="both"/>
        <w:rPr>
          <w:rFonts w:ascii="Times New Roman" w:eastAsia="Calibri" w:hAnsi="Times New Roman"/>
          <w:b/>
          <w:color w:val="auto"/>
          <w:sz w:val="28"/>
          <w:szCs w:val="28"/>
        </w:rPr>
      </w:pPr>
      <w:r w:rsidRPr="009A00DA">
        <w:rPr>
          <w:rFonts w:ascii="Times New Roman" w:eastAsia="Calibri" w:hAnsi="Times New Roman"/>
          <w:b/>
          <w:color w:val="auto"/>
          <w:sz w:val="28"/>
          <w:szCs w:val="28"/>
        </w:rPr>
        <w:t>2. Tổng công ty BHTG Hàn Quốc (KDIC)</w:t>
      </w:r>
    </w:p>
    <w:p w14:paraId="3956A3D3" w14:textId="77777777" w:rsidR="004B2F00" w:rsidRPr="009A00DA" w:rsidRDefault="004B2F00" w:rsidP="004E30A9">
      <w:pPr>
        <w:pStyle w:val="Heading3"/>
        <w:spacing w:before="120" w:after="120" w:line="288" w:lineRule="auto"/>
        <w:ind w:firstLine="720"/>
        <w:jc w:val="both"/>
        <w:rPr>
          <w:rFonts w:ascii="Times New Roman" w:hAnsi="Times New Roman"/>
          <w:i/>
        </w:rPr>
      </w:pPr>
      <w:r w:rsidRPr="009A00DA">
        <w:rPr>
          <w:rFonts w:ascii="Times New Roman" w:hAnsi="Times New Roman"/>
          <w:i/>
        </w:rPr>
        <w:t>2.1. Hoạt động kiểm tra theo quy định tại Luật</w:t>
      </w:r>
    </w:p>
    <w:p w14:paraId="4BD79B2F" w14:textId="77777777" w:rsidR="004B2F00" w:rsidRPr="00D601C9" w:rsidRDefault="004B2F00" w:rsidP="004E30A9">
      <w:pPr>
        <w:spacing w:before="120" w:after="120" w:line="288" w:lineRule="auto"/>
        <w:ind w:firstLine="720"/>
        <w:jc w:val="both"/>
        <w:rPr>
          <w:rFonts w:ascii="Times New Roman" w:eastAsia="SimSun" w:hAnsi="Times New Roman" w:cs="Times New Roman"/>
          <w:color w:val="000000"/>
          <w:sz w:val="28"/>
          <w:szCs w:val="28"/>
        </w:rPr>
      </w:pPr>
      <w:r w:rsidRPr="00D601C9">
        <w:rPr>
          <w:rFonts w:ascii="Times New Roman" w:eastAsia="SimSun" w:hAnsi="Times New Roman" w:cs="Times New Roman"/>
          <w:color w:val="000000"/>
          <w:sz w:val="28"/>
          <w:szCs w:val="28"/>
        </w:rPr>
        <w:t>Theo Điều 21 Luật bảo vệ người gửi tiền quy định về hoạt động kiểm tra của KDIC như sau:</w:t>
      </w:r>
    </w:p>
    <w:p w14:paraId="2969497F" w14:textId="77777777" w:rsidR="004B2F00" w:rsidRPr="00D601C9" w:rsidRDefault="004B2F00" w:rsidP="004E30A9">
      <w:pPr>
        <w:spacing w:before="120" w:after="120" w:line="288" w:lineRule="auto"/>
        <w:ind w:firstLine="720"/>
        <w:jc w:val="both"/>
        <w:rPr>
          <w:rFonts w:ascii="Times New Roman" w:eastAsia="SimSun" w:hAnsi="Times New Roman" w:cs="Times New Roman"/>
          <w:color w:val="000000"/>
          <w:sz w:val="28"/>
          <w:szCs w:val="28"/>
        </w:rPr>
      </w:pPr>
      <w:r w:rsidRPr="00D601C9">
        <w:rPr>
          <w:rFonts w:ascii="Times New Roman" w:eastAsia="SimSun" w:hAnsi="Times New Roman" w:cs="Times New Roman"/>
          <w:color w:val="000000"/>
          <w:sz w:val="28"/>
          <w:szCs w:val="28"/>
        </w:rPr>
        <w:lastRenderedPageBreak/>
        <w:t>“(1) Tổng công ty (KDIC) có thể yêu cầu tổ chức tài chính được bảo hiểm và công ty tài chính nắm giữ có công ty con là tổ chức tài chính được bảo hiểm đó, v.v. theo Luật công ty tài chính nắm giữ gửi dữ liệu quan đến các hoạt động và tình hình tài chính của tổ chức đó trong phạm vi cần thiết để tiến hành các công việc liên quan đến việc xác định xem tổ chức tài chính đó có mất khả năng thanh toán hoặc có nguy cơ mất khả năng thanh toán hay không, việc tính toán và thu phí bảo hiểm và các khoản đóng góp đặc biệt theo Điều 30 và 30-3, việc chi trả và tính toán tiền bảo hiểm theo Điều 31 và 32, và việc thanh lý các tổ chức tài chính mất khả năng thanh toán theo CHƯƠNG IV.</w:t>
      </w:r>
    </w:p>
    <w:p w14:paraId="4735446F" w14:textId="77777777" w:rsidR="004B2F00" w:rsidRPr="00D601C9" w:rsidRDefault="004B2F00" w:rsidP="004E30A9">
      <w:pPr>
        <w:spacing w:before="120" w:after="120" w:line="288" w:lineRule="auto"/>
        <w:ind w:firstLine="720"/>
        <w:jc w:val="both"/>
        <w:rPr>
          <w:rFonts w:ascii="Times New Roman" w:eastAsia="SimSun" w:hAnsi="Times New Roman" w:cs="Times New Roman"/>
          <w:color w:val="000000"/>
          <w:sz w:val="28"/>
          <w:szCs w:val="28"/>
        </w:rPr>
      </w:pPr>
      <w:r w:rsidRPr="00D601C9">
        <w:rPr>
          <w:rFonts w:ascii="Times New Roman" w:eastAsia="SimSun" w:hAnsi="Times New Roman" w:cs="Times New Roman"/>
          <w:color w:val="000000"/>
          <w:sz w:val="28"/>
          <w:szCs w:val="28"/>
        </w:rPr>
        <w:t>(2) Trường hợp Tổng công ty cho rằng một tổ chức tài chính được bảo hiểm có nguy cơ mất khả năng thanh toán theo các tiêu chuẩn quy định tại Sắc lệnh của Tổng thống dựa trên dữ liệu, v.v. được nộp theo quy định tại khoản (1), hoặc việc xác minh theo quy định tại khoản (5) không được thực hiện, thì Tổng công ty có thể kiểm tra các hoạt động và tình hình tài chính của tổ chức tài chính được bảo hiểm và công ty tài chính nắm giữ có công ty con là tổ chức tài chính được bảo hiểm đó, v.v. theo Luật công ty tài chính nắm giữ. </w:t>
      </w:r>
    </w:p>
    <w:p w14:paraId="618F321C" w14:textId="77777777" w:rsidR="004B2F00" w:rsidRPr="00D601C9" w:rsidRDefault="004B2F00" w:rsidP="004E30A9">
      <w:pPr>
        <w:spacing w:before="120" w:after="120" w:line="288" w:lineRule="auto"/>
        <w:ind w:firstLine="720"/>
        <w:jc w:val="both"/>
        <w:rPr>
          <w:rFonts w:ascii="Times New Roman" w:eastAsia="SimSun" w:hAnsi="Times New Roman" w:cs="Times New Roman"/>
          <w:color w:val="000000"/>
          <w:sz w:val="28"/>
          <w:szCs w:val="28"/>
        </w:rPr>
      </w:pPr>
      <w:r w:rsidRPr="00D601C9">
        <w:rPr>
          <w:rFonts w:ascii="Times New Roman" w:eastAsia="SimSun" w:hAnsi="Times New Roman" w:cs="Times New Roman"/>
          <w:color w:val="000000"/>
          <w:sz w:val="28"/>
          <w:szCs w:val="28"/>
        </w:rPr>
        <w:t>(3) Trong trường hợp Tổng công ty cho rằng cần thiết để bảo vệ người gửi tiền, v.v. và duy trì sự ổn định của hệ thống tài chính, Tổng công ty có thể yêu cầu Chủ tịch Cơ quan Giám sát Tài chính, được thành lập theo Luật về Thành lập Ủy ban dịch vụ tài chính (sau đây được gọi là "Chủ tịch Cơ quan Giám sát Tài chính") thanh tra tổ chức tài chính được bảo hiểm và công ty tài chính nắm giữ có công ty con là tổ chức tài chính được bảo hiểm, v.v. theo Luật công ty tài chính nắm giữ. </w:t>
      </w:r>
    </w:p>
    <w:p w14:paraId="4D824991" w14:textId="77777777" w:rsidR="004B2F00" w:rsidRPr="00D601C9" w:rsidRDefault="004B2F00" w:rsidP="004E30A9">
      <w:pPr>
        <w:spacing w:before="120" w:after="120" w:line="288" w:lineRule="auto"/>
        <w:ind w:firstLine="720"/>
        <w:jc w:val="both"/>
        <w:rPr>
          <w:rFonts w:ascii="Times New Roman" w:eastAsia="SimSun" w:hAnsi="Times New Roman" w:cs="Times New Roman"/>
          <w:color w:val="000000"/>
          <w:sz w:val="28"/>
          <w:szCs w:val="28"/>
        </w:rPr>
      </w:pPr>
      <w:r w:rsidRPr="00D601C9">
        <w:rPr>
          <w:rFonts w:ascii="Times New Roman" w:eastAsia="SimSun" w:hAnsi="Times New Roman" w:cs="Times New Roman"/>
          <w:color w:val="000000"/>
          <w:sz w:val="28"/>
          <w:szCs w:val="28"/>
        </w:rPr>
        <w:t>(4) Trường hợp Tổng công ty xét thấy cần thiết phải bảo vệ người gửi tiền, v.v., Tổng công ty có thể yêu cầu Chủ tịch Cơ quan Giám sát Tài chính cung cấp dữ liệu liên quan đến tổ chức tài chính được bảo hiểm và công ty tài chính nắm giữ có công ty con là tổ chức tài chính được bảo hiểm đó, v.v. theo Luật công ty tài chính nắm giữ ở một mức độ theo quy định. Trong những trường hợp như vậy, Chủ tịch Cơ quan Giám sát Tài chính sẽ thực hiện theo yêu cầu đó.</w:t>
      </w:r>
    </w:p>
    <w:p w14:paraId="1A4D2103" w14:textId="77777777" w:rsidR="004B2F00" w:rsidRPr="00D601C9" w:rsidRDefault="004B2F00" w:rsidP="004E30A9">
      <w:pPr>
        <w:spacing w:before="120" w:after="120" w:line="288" w:lineRule="auto"/>
        <w:ind w:firstLine="720"/>
        <w:jc w:val="both"/>
        <w:rPr>
          <w:rFonts w:ascii="Times New Roman" w:eastAsia="SimSun" w:hAnsi="Times New Roman" w:cs="Times New Roman"/>
          <w:color w:val="000000"/>
          <w:sz w:val="28"/>
          <w:szCs w:val="28"/>
        </w:rPr>
      </w:pPr>
      <w:r w:rsidRPr="00D601C9">
        <w:rPr>
          <w:rFonts w:ascii="Times New Roman" w:eastAsia="SimSun" w:hAnsi="Times New Roman" w:cs="Times New Roman"/>
          <w:color w:val="000000"/>
          <w:sz w:val="28"/>
          <w:szCs w:val="28"/>
        </w:rPr>
        <w:t xml:space="preserve">(5) Trong trường hợp Tổng công ty cho rằng cần phải xác minh tính xác thực và chính xác của dữ liệu được cung cấp theo quy định tại khoản (4) để xác định liệu tổ chức tài chính được bảo hiểm có nguy cơ làm phát sinh các sự cố bảo hiểm, thì Tổng công ty có thể yêu cầu Chủ tịch Cơ quan Giám sát Tài chính xác minh, trong khoảng thời gian cố định là một tháng, về tính xác thực và chính xác của dữ liệu thông qua kiểm tra, v.v. tổ chức tài chính được bảo hiểm và công ty tài chính nắm giữ có </w:t>
      </w:r>
      <w:r w:rsidRPr="00D601C9">
        <w:rPr>
          <w:rFonts w:ascii="Times New Roman" w:eastAsia="SimSun" w:hAnsi="Times New Roman" w:cs="Times New Roman"/>
          <w:color w:val="000000"/>
          <w:sz w:val="28"/>
          <w:szCs w:val="28"/>
        </w:rPr>
        <w:lastRenderedPageBreak/>
        <w:t>công ty con là tổ chức tài chính được bảo hiểm đó, v.v. theo Luật công ty tài chính nắm giữ.</w:t>
      </w:r>
    </w:p>
    <w:p w14:paraId="1BF821B2" w14:textId="77777777" w:rsidR="004B2F00" w:rsidRPr="00D601C9" w:rsidRDefault="004B2F00" w:rsidP="004E30A9">
      <w:pPr>
        <w:spacing w:before="120" w:after="120" w:line="288" w:lineRule="auto"/>
        <w:ind w:firstLine="720"/>
        <w:jc w:val="both"/>
        <w:rPr>
          <w:rFonts w:ascii="Times New Roman" w:eastAsia="SimSun" w:hAnsi="Times New Roman" w:cs="Times New Roman"/>
          <w:color w:val="000000"/>
          <w:sz w:val="28"/>
          <w:szCs w:val="28"/>
        </w:rPr>
      </w:pPr>
      <w:r w:rsidRPr="00D601C9">
        <w:rPr>
          <w:rFonts w:ascii="Times New Roman" w:eastAsia="SimSun" w:hAnsi="Times New Roman" w:cs="Times New Roman"/>
          <w:color w:val="000000"/>
          <w:sz w:val="28"/>
          <w:szCs w:val="28"/>
        </w:rPr>
        <w:t>(6) Tổng công ty có thể yêu cầu Chủ tịch Cơ quan Giám sát Tài chính thực hiện các biện pháp khắc phục cần thiết đối với tổ chức tài chính được bảo hiểm và công ty tài chính nắm giữ có công ty con là tổ chức tài chính được bảo hiểm đó, v.v. theo Luật công ty tài chính nắm giữ dựa trên kết quả thanh tra nêu tại khoản (2). Trong những trường hợp như vậy, Chủ tịch Cơ quan Giám sát Tài chính sẽ thực hiện yêu cầu đó trừ các hoàn cảnh bất khả kháng, và gửi</w:t>
      </w:r>
      <w:r w:rsidRPr="00D601C9">
        <w:rPr>
          <w:rFonts w:ascii="Times New Roman" w:hAnsi="Times New Roman" w:cs="Times New Roman"/>
          <w:sz w:val="28"/>
          <w:szCs w:val="28"/>
        </w:rPr>
        <w:t xml:space="preserve"> </w:t>
      </w:r>
      <w:r w:rsidRPr="00D601C9">
        <w:rPr>
          <w:rFonts w:ascii="Times New Roman" w:eastAsia="SimSun" w:hAnsi="Times New Roman" w:cs="Times New Roman"/>
          <w:color w:val="000000"/>
          <w:sz w:val="28"/>
          <w:szCs w:val="28"/>
        </w:rPr>
        <w:t>kết quả của các biện pháp mà người đó đã áp dụng, và chi tiết việc thực hiện của các đối tượng chịu sự áp dụng của các biện pháp đó cho Tổng công ty.</w:t>
      </w:r>
    </w:p>
    <w:p w14:paraId="19316695" w14:textId="77777777" w:rsidR="004B2F00" w:rsidRPr="00D601C9" w:rsidRDefault="004B2F00" w:rsidP="004E30A9">
      <w:pPr>
        <w:spacing w:before="120" w:after="120" w:line="288" w:lineRule="auto"/>
        <w:ind w:firstLine="720"/>
        <w:jc w:val="both"/>
        <w:rPr>
          <w:rFonts w:ascii="Times New Roman" w:eastAsia="SimSun" w:hAnsi="Times New Roman" w:cs="Times New Roman"/>
          <w:color w:val="000000"/>
          <w:sz w:val="28"/>
          <w:szCs w:val="28"/>
        </w:rPr>
      </w:pPr>
      <w:r w:rsidRPr="00D601C9">
        <w:rPr>
          <w:rFonts w:ascii="Times New Roman" w:eastAsia="SimSun" w:hAnsi="Times New Roman" w:cs="Times New Roman"/>
          <w:color w:val="000000"/>
          <w:sz w:val="28"/>
          <w:szCs w:val="28"/>
        </w:rPr>
        <w:t xml:space="preserve">(7) Trường hợp Tổng công ty cho rằng tổ chức tài chính được bảo hiểm có nguy cơ làm phát sinh các sự cố bảo hiểm do kết quả thanh tra theo quy định tại khoản (2), thì Tổng công ty sẽ thông báo cho Ủy ban Dịch vụ Tài chính về ý kiến của mình và yêu cầu Ủy ban Dịch vụ Tài chính thực hiện các biện pháp thích hợp. Trong những trường hợp như vậy, Ủy ban Dịch vụ Tài chính khi nhận được yêu cầu sẽ thực hiện yêu cầu ngoại trừ các hoàn cảnh bất khả kháng. </w:t>
      </w:r>
    </w:p>
    <w:p w14:paraId="17392F75" w14:textId="77777777" w:rsidR="004B2F00" w:rsidRPr="00D601C9" w:rsidRDefault="004B2F00" w:rsidP="004E30A9">
      <w:pPr>
        <w:spacing w:before="120" w:after="120" w:line="288" w:lineRule="auto"/>
        <w:ind w:firstLine="720"/>
        <w:jc w:val="both"/>
        <w:rPr>
          <w:rFonts w:ascii="Times New Roman" w:eastAsia="SimSun" w:hAnsi="Times New Roman" w:cs="Times New Roman"/>
          <w:sz w:val="28"/>
          <w:szCs w:val="28"/>
        </w:rPr>
      </w:pPr>
      <w:r w:rsidRPr="00D601C9">
        <w:rPr>
          <w:rFonts w:ascii="Times New Roman" w:eastAsia="SimSun" w:hAnsi="Times New Roman" w:cs="Times New Roman"/>
          <w:color w:val="000000"/>
          <w:sz w:val="28"/>
          <w:szCs w:val="28"/>
        </w:rPr>
        <w:t>(8) Tổng công ty có thể yêu cầu Chủ tịch Cơ quan Giám sát Tài chính gửi kết quả thanh tra theo quy định tại đoạn (3) hoặc yêu cầu thực hiện các biện pháp khắc phục cần thiết đối với tổ chức tài chính được bảo hiểm và công ty tài chính nắm giữ có công ty con là tổ chức tài chính được bảo hiểm đó, v.v. theo Luật công ty tài chính nắm giữ phù hợp với kết quả thanh tra. Trong trường hợp đó, Chủ tịch Cơ quan Giám sát Tài chính khi nhận được yêu cầu đó sẽ thực hiện theo yêu cầu và gửi kết quả các biện pháp mà mình đã thực hiện và chi tiết việc thực hiện của các tổ chức bị áp dụng các biện pháp đó cho Tổng công ty.”</w:t>
      </w:r>
    </w:p>
    <w:p w14:paraId="07DE605E" w14:textId="77777777" w:rsidR="004B2F00" w:rsidRPr="009A00DA" w:rsidRDefault="004B2F00" w:rsidP="004E30A9">
      <w:pPr>
        <w:pStyle w:val="Heading3"/>
        <w:spacing w:before="120" w:after="120" w:line="288" w:lineRule="auto"/>
        <w:ind w:firstLine="720"/>
        <w:jc w:val="both"/>
        <w:rPr>
          <w:rFonts w:ascii="Times New Roman" w:hAnsi="Times New Roman"/>
          <w:i/>
        </w:rPr>
      </w:pPr>
      <w:r w:rsidRPr="009A00DA">
        <w:rPr>
          <w:rFonts w:ascii="Times New Roman" w:hAnsi="Times New Roman"/>
          <w:i/>
        </w:rPr>
        <w:t>2.2. Thẩm quyền kiểm tra tại chỗ</w:t>
      </w:r>
    </w:p>
    <w:p w14:paraId="7923A6D9" w14:textId="77777777" w:rsidR="004B2F00" w:rsidRPr="00D601C9" w:rsidRDefault="004B2F00" w:rsidP="004E30A9">
      <w:pPr>
        <w:spacing w:before="120" w:after="120" w:line="288" w:lineRule="auto"/>
        <w:ind w:firstLine="720"/>
        <w:jc w:val="both"/>
        <w:rPr>
          <w:rFonts w:ascii="Times New Roman" w:eastAsia="SimSun" w:hAnsi="Times New Roman" w:cs="Times New Roman"/>
          <w:color w:val="000000"/>
          <w:sz w:val="28"/>
          <w:szCs w:val="28"/>
        </w:rPr>
      </w:pPr>
      <w:r w:rsidRPr="00D601C9">
        <w:rPr>
          <w:rFonts w:ascii="Times New Roman" w:eastAsia="SimSun" w:hAnsi="Times New Roman" w:cs="Times New Roman"/>
          <w:color w:val="000000"/>
          <w:sz w:val="28"/>
          <w:szCs w:val="28"/>
        </w:rPr>
        <w:t xml:space="preserve">KDIC hoạt động theo mô hình giảm thiểu rủi ro. Dựa trên kết quả giám sát và đánh giá rủi ro liên tục, KDIC lựa chọn các tổ chức tài chính mục tiêu để tiến hành kiểm tra độc lập và phối hợp kiểm tra. Để xem xét các nguy cơ có thể dẫn đến đổ vỡ và gây tổn thất cho Quỹ Bảo hiểm Tiền gửi, KDIC thực hiện kiểm tra tại chỗ thông qua:  </w:t>
      </w:r>
    </w:p>
    <w:p w14:paraId="67C4D594" w14:textId="77777777" w:rsidR="004B2F00" w:rsidRPr="00D601C9" w:rsidRDefault="004B2F00" w:rsidP="004E30A9">
      <w:pPr>
        <w:spacing w:before="120" w:after="120" w:line="288" w:lineRule="auto"/>
        <w:ind w:firstLine="720"/>
        <w:jc w:val="both"/>
        <w:rPr>
          <w:rFonts w:ascii="Times New Roman" w:eastAsia="SimSun" w:hAnsi="Times New Roman" w:cs="Times New Roman"/>
          <w:color w:val="000000"/>
          <w:sz w:val="28"/>
          <w:szCs w:val="28"/>
        </w:rPr>
      </w:pPr>
      <w:r w:rsidRPr="00D601C9">
        <w:rPr>
          <w:rFonts w:ascii="Times New Roman" w:eastAsia="SimSun" w:hAnsi="Times New Roman" w:cs="Times New Roman"/>
          <w:color w:val="000000"/>
          <w:sz w:val="28"/>
          <w:szCs w:val="28"/>
        </w:rPr>
        <w:t xml:space="preserve">- Kiểm tra phối hợp với FSS theo Điều 21 của Luật Bảo vệ người gửi tiền.  </w:t>
      </w:r>
    </w:p>
    <w:p w14:paraId="05428DA0" w14:textId="77777777" w:rsidR="004B2F00" w:rsidRPr="00D601C9" w:rsidRDefault="004B2F00" w:rsidP="004E30A9">
      <w:pPr>
        <w:spacing w:before="120" w:after="120" w:line="288" w:lineRule="auto"/>
        <w:ind w:firstLine="720"/>
        <w:jc w:val="both"/>
        <w:rPr>
          <w:rFonts w:ascii="Times New Roman" w:eastAsia="SimSun" w:hAnsi="Times New Roman" w:cs="Times New Roman"/>
          <w:color w:val="000000"/>
          <w:sz w:val="28"/>
          <w:szCs w:val="28"/>
        </w:rPr>
      </w:pPr>
      <w:r w:rsidRPr="00D601C9">
        <w:rPr>
          <w:rFonts w:ascii="Times New Roman" w:eastAsia="SimSun" w:hAnsi="Times New Roman" w:cs="Times New Roman"/>
          <w:color w:val="000000"/>
          <w:sz w:val="28"/>
          <w:szCs w:val="28"/>
        </w:rPr>
        <w:t xml:space="preserve">- Kiểm tra độc lập theo Điều 21(2) của Luật Bảo vệ người gửi tiền.  </w:t>
      </w:r>
    </w:p>
    <w:p w14:paraId="653FD417" w14:textId="77777777" w:rsidR="004B2F00" w:rsidRPr="00D601C9" w:rsidRDefault="004B2F00" w:rsidP="004E30A9">
      <w:pPr>
        <w:spacing w:before="120" w:after="120" w:line="288" w:lineRule="auto"/>
        <w:ind w:firstLine="720"/>
        <w:jc w:val="both"/>
        <w:rPr>
          <w:rFonts w:ascii="Times New Roman" w:eastAsia="SimSun" w:hAnsi="Times New Roman" w:cs="Times New Roman"/>
          <w:sz w:val="28"/>
          <w:szCs w:val="28"/>
        </w:rPr>
      </w:pPr>
      <w:r w:rsidRPr="00D601C9">
        <w:rPr>
          <w:rFonts w:ascii="Times New Roman" w:eastAsia="SimSun" w:hAnsi="Times New Roman" w:cs="Times New Roman"/>
          <w:color w:val="000000"/>
          <w:sz w:val="28"/>
          <w:szCs w:val="28"/>
        </w:rPr>
        <w:t>- Phỏng vấn ban lãnh đạo của các tổ chức tài chính được bảo hiểm.</w:t>
      </w:r>
    </w:p>
    <w:p w14:paraId="5CB8738F" w14:textId="77777777" w:rsidR="004B2F00" w:rsidRPr="00D601C9" w:rsidRDefault="004B2F00" w:rsidP="004E30A9">
      <w:pPr>
        <w:spacing w:before="120" w:after="120" w:line="288" w:lineRule="auto"/>
        <w:ind w:firstLine="720"/>
        <w:jc w:val="both"/>
        <w:rPr>
          <w:rFonts w:ascii="Times New Roman" w:eastAsia="SimSun" w:hAnsi="Times New Roman" w:cs="Times New Roman"/>
          <w:color w:val="000000"/>
          <w:sz w:val="28"/>
          <w:szCs w:val="28"/>
        </w:rPr>
      </w:pPr>
      <w:r w:rsidRPr="00D601C9">
        <w:rPr>
          <w:rFonts w:ascii="Times New Roman" w:eastAsia="SimSun" w:hAnsi="Times New Roman" w:cs="Times New Roman"/>
          <w:color w:val="000000"/>
          <w:sz w:val="28"/>
          <w:szCs w:val="28"/>
        </w:rPr>
        <w:lastRenderedPageBreak/>
        <w:t>Từ kết quả giám sát và kiểm tra, KDIC sẽ áp dụng phí bảo hiểm theo rủi ro cho tổ chức tài chính và có thể đề nghị FSC yêu cầu tổ chức tài chính thực hiện hành động khắc phục kịp thời nếu cần. </w:t>
      </w:r>
    </w:p>
    <w:p w14:paraId="2B3622CC" w14:textId="77777777" w:rsidR="004B2F00" w:rsidRPr="00D601C9" w:rsidRDefault="004B2F00" w:rsidP="004E30A9">
      <w:pPr>
        <w:spacing w:before="120" w:after="120" w:line="288" w:lineRule="auto"/>
        <w:ind w:firstLine="720"/>
        <w:jc w:val="both"/>
        <w:rPr>
          <w:rFonts w:ascii="Times New Roman" w:eastAsia="SimSun" w:hAnsi="Times New Roman" w:cs="Times New Roman"/>
          <w:color w:val="000000"/>
          <w:sz w:val="28"/>
          <w:szCs w:val="28"/>
        </w:rPr>
      </w:pPr>
      <w:r w:rsidRPr="00D601C9">
        <w:rPr>
          <w:rFonts w:ascii="Times New Roman" w:eastAsia="SimSun" w:hAnsi="Times New Roman" w:cs="Times New Roman"/>
          <w:color w:val="000000"/>
          <w:sz w:val="28"/>
          <w:szCs w:val="28"/>
        </w:rPr>
        <w:t>Tính đến thời điểm tháng 12/2023, tổng số tổ chức tham gia BHTG tại Hàn Quốc là 286 tổ chức, bao gồm Ngân hàng; Công ty bảo hiểm (cả công ty bảo hiểm nhân thọ và công ty bảo hiểm phi nhân thọ); Các tổ chức giao dịch và môi giới đầu tư; Ngân hàng chuyên doanh (merchant bank); và Ngân hàng tiết kiệm tương hỗ (Mutual Savings Banks); Công ty quản lý tài sản được cấp phép theo Luật Dịch vụ Đầu tư Tài chính và Thị trường Vốn (năm 2019) cho các dịch vụ môi giới và giao dịch đầu tư; Chi nhánh ngân hàng nước ngoài, Liên minh Hợp tác xã Nông nghiệp Quốc gia (NongHyup) và Liên minh Hợp tác xã Nghề cá Quốc gia (SuHyup) đều được bảo hiểm bởi KDIC.</w:t>
      </w:r>
    </w:p>
    <w:p w14:paraId="56E1AA86" w14:textId="77777777" w:rsidR="004B2F00" w:rsidRPr="009A00DA" w:rsidRDefault="004B2F00" w:rsidP="004E30A9">
      <w:pPr>
        <w:pStyle w:val="Heading3"/>
        <w:spacing w:before="120" w:after="120" w:line="288" w:lineRule="auto"/>
        <w:ind w:firstLine="720"/>
        <w:jc w:val="both"/>
        <w:rPr>
          <w:rFonts w:ascii="Times New Roman" w:hAnsi="Times New Roman"/>
          <w:i/>
        </w:rPr>
      </w:pPr>
      <w:r w:rsidRPr="009A00DA">
        <w:rPr>
          <w:rFonts w:ascii="Times New Roman" w:hAnsi="Times New Roman"/>
          <w:i/>
        </w:rPr>
        <w:t>2.3. Nội dung kiểm tra</w:t>
      </w:r>
    </w:p>
    <w:p w14:paraId="2A57BC49"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 xml:space="preserve">Nội dung kiểm tra tại chỗ của KDIC bao gồm: </w:t>
      </w:r>
    </w:p>
    <w:p w14:paraId="02DEFBB0"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 xml:space="preserve">(1) Xác định yếu tố rủi ro của tổ chức tài chính: rủi ro tín dụng, rủi ro thị trường, rủi ro quản lý, rủi ro hoạt động…; </w:t>
      </w:r>
    </w:p>
    <w:p w14:paraId="3F6A4722"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 xml:space="preserve">(2) Phân loại chất lượng tài sản: xem xét dự phòng rủi ro tín dụng có phù hợp hay không; </w:t>
      </w:r>
    </w:p>
    <w:p w14:paraId="6B37C608"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 xml:space="preserve">(3) Đánh giá khả năng quản lý rủi ro; </w:t>
      </w:r>
    </w:p>
    <w:p w14:paraId="55B51A37"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(4) Kiểm tra hoạt động kiểm soát nội bộ.</w:t>
      </w:r>
    </w:p>
    <w:p w14:paraId="1FBB8CD2"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Năm 2023, KDIC đã thực hiện 12 cuộc kiểm tra phối hợp với FSS và 2 cuộc kiểm tra độc lập. Theo Biên bản ghi nhớ (MOU) về kiểm tra chung các tổ chức tài chính, KDIC cũng tham gia kiểm tra chung các ngân hàng tiết kiệm thuộc diện kiểm tra định kỳ, đặc biệt là các ngân hàng tiết kiệm lớn có tổng tài sản trên 2 nghìn tỷ KRW.</w:t>
      </w:r>
    </w:p>
    <w:p w14:paraId="791609C9"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Trọng tâm của các cuộc kiểm tra độc lập và phối hợp của KDIC không phải là vấn đề tuân thủ quy định mà là các yếu tố rủi ro có thể gây tổn thất cho Quỹ bảo hiểm tiền gửi (DIF).</w:t>
      </w:r>
    </w:p>
    <w:p w14:paraId="5D825862"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 xml:space="preserve">Trong lĩnh vực ngân hàng, sự sụp đổ của Silicon Valley Bank tại Mỹ đã nhấn mạnh tầm quan trọng của việc phân tích cấu trúc nợ phải trả của các ngân hàng. Những lo ngại về suy thoái thị trường bất động sản và xu hướng tăng lãi suất kéo dài đã làm dấy lên lo ngại về suy giảm chất lượng tài sản trong môi trường tài chính bất lợi. KDIC đã tiến hành kiểm tra tại chỗ tập trung vào cấu trúc tiền gửi, quản lý thanh khoản, cũng </w:t>
      </w:r>
      <w:r w:rsidRPr="00D601C9">
        <w:rPr>
          <w:rFonts w:ascii="Times New Roman" w:hAnsi="Times New Roman" w:cs="Times New Roman"/>
          <w:sz w:val="28"/>
          <w:szCs w:val="28"/>
        </w:rPr>
        <w:lastRenderedPageBreak/>
        <w:t>như đánh giá mức độ an toàn của các khoản vay doanh nghiệp và hộ gia đình. Những vấn đề còn thiếu sót đã được chỉ ra để cải thiện.</w:t>
      </w:r>
    </w:p>
    <w:p w14:paraId="6C8584E3"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Trong lĩnh vực bảo hiểm, KDIC thực hiện kiểm tra phối hợp tại các công ty bảo hiểm có năng lực quản lý vốn chưa đủ và có dấu hiệu suy giảm chất lượng tài sản. Sau các cuộc kiểm tra, KDIC đưa ra ý kiến về cách thức cải thiện quản lý vốn, chẳng hạn như xây dựng kế hoạch trung và dài hạn để quản lý vốn trước khi áp dụng các tiêu chuẩn kế toán mới (IFRS17 và Tiêu chuẩn Vốn Bảo hiểm Hàn Quốc (K-ICS)) vào năm 2023. KDIC cũng khuyến nghị các công ty bảo hiểm cần phát triển và duy trì kế hoạch quản lý khủng hoảng hiệu quả, đồng thời tăng cường kiểm soát các tài sản rủi ro như cổ phiếu, chứng khoán cấu trúc và các khoản vay tài trợ dự án để ngăn ngừa tình trạng mất khả năng thanh toán.</w:t>
      </w:r>
    </w:p>
    <w:p w14:paraId="5947D7C6"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Trong lĩnh vực đầu tư tài chính, các cuộc kiểm tra phối hợp được tiến hành tại các công ty chứng khoán có mức độ rủi ro cao liên quan đến tài trợ dự án bất động sản và đầu tư thay thế ở nước ngoài. Qua đó, KDIC yêu cầu cải thiện quy trình thẩm định và quản lý tài sản rủi ro, đồng thời đề xuất tăng cường bảo vệ người tiêu dùng tài chính bằng cách quản lý tốt hơn tiền gửi của nhà đầu tư. KDIC cũng khuyến nghị các công ty chứng khoán nên cải thiện hệ thống lương thưởng theo hiệu suất và tăng cường kiểm soát nội bộ để ngăn ngừa rủi ro phá sản trong ngành.</w:t>
      </w:r>
    </w:p>
    <w:p w14:paraId="342DA291"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Trong lĩnh vực ngân hàng tiết kiệm, KDIC tập trung kiểm tra quy trình quản lý và theo dõi các khoản vay tài trợ dự án và khoản vay cầu nối (bridge loans) do tác động của sự suy giảm thị trường bất động sản và lãi suất tăng. Kết quả kiểm tra đã được gửi đến các ngân hàng tiết kiệm để giúp họ chuẩn bị các biện pháp quản lý rủi ro chủ động hơn. Ngoài ra, KDIC cũng phân tích sâu hơn về cấu trúc tiền gửi, mức độ phù hợp của lãi suất chi trả và khả năng ứng phó với khủng hoảng thanh khoản của từng ngân hàng tiết kiệm. Những phát hiện này nhằm mục tiêu giúp các cơ quan quản lý tài chính đưa ra các cải thiện về chính sách và quy định.</w:t>
      </w:r>
    </w:p>
    <w:p w14:paraId="55C27422" w14:textId="77777777" w:rsidR="004B2F00" w:rsidRPr="009A00DA" w:rsidRDefault="004B2F00" w:rsidP="004E30A9">
      <w:pPr>
        <w:pStyle w:val="Heading3"/>
        <w:spacing w:before="120" w:after="120" w:line="288" w:lineRule="auto"/>
        <w:ind w:firstLine="720"/>
        <w:jc w:val="both"/>
        <w:rPr>
          <w:rFonts w:ascii="Times New Roman" w:eastAsia="SimSun" w:hAnsi="Times New Roman"/>
          <w:i/>
        </w:rPr>
      </w:pPr>
      <w:r w:rsidRPr="009A00DA">
        <w:rPr>
          <w:rFonts w:ascii="Times New Roman" w:eastAsia="SimSun" w:hAnsi="Times New Roman"/>
          <w:i/>
        </w:rPr>
        <w:t xml:space="preserve">2.4. Sự phối hợp với các cơ quan liên quan </w:t>
      </w:r>
    </w:p>
    <w:p w14:paraId="1FEE25EE"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 xml:space="preserve">Hàng năm, KDIC phối hợp với FSS lập kế hoạch kiểm tra các tổ chức tham gia BHTG dựa trên đánh giá rủi ro. Thông thường, FSS là đơn vị trực tiếp thực hiện thanh tra ngân hàng, còn KDIC cử cán bộ tham gia các đoàn kiểm tra chung khi xét thấy cần thiết để nắm bắt tình hình. Song song, KDIC phát triển hệ thống mô hình phát hiện rủi ro và chấm điểm xếp hạng riêng (RE,RI, ST) cho các tổ chức được bảo hiểm, dựa trên thông tin do FSS cung cấp và dữ liệu từ chính các tổ chức đó​. Hệ thống này hỗ trợ KDIC trong việc xác định ngân hàng nào có dấu hiệu bất thường để đề xuất kiểm tra </w:t>
      </w:r>
      <w:r w:rsidRPr="00D601C9">
        <w:rPr>
          <w:rFonts w:ascii="Times New Roman" w:hAnsi="Times New Roman" w:cs="Times New Roman"/>
          <w:sz w:val="28"/>
          <w:szCs w:val="28"/>
        </w:rPr>
        <w:lastRenderedPageBreak/>
        <w:t>chuyên sâu. Khi tham gia kiểm tra tại chỗ, KDIC tập trung vào các khía cạnh ảnh hưởng tới quyền lợi người gửi tiền và khả năng xử lý nếu ngân hàng đổ vỡ, chẳng hạn đánh giá chính xác số dư tiền gửi được bảo hiểm, chất lượng tài sản đảm bảo cho nghĩa vụ với người gửi tiền.</w:t>
      </w:r>
    </w:p>
    <w:p w14:paraId="0E31CC51"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 xml:space="preserve"> Về chia sẻ thông tin, KDIC được tiếp cận dữ liệu giám sát từ FSS theo quy định của luật và biên bản ghi nhớ giữa hai tổ chức​. Mọi động thái FSS áp dụng biện pháp kỷ luật/can thiệp với ngân hàng (chẳng hạn yêu cầu khắc phục, tăng vốn) đều được thông báo cho KDIC tại thời điểm thực thi​.</w:t>
      </w:r>
    </w:p>
    <w:p w14:paraId="27780363"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Ngoài ra, Chủ tịch KDIC đồng thời là Ủy viên của Ủy ban Dịch vụ Tài chính (FSC), do đó KDIC tham gia trực tiếp vào quá trình thảo luận và biểu quyết các quyết định can thiệp sớm đối với ngân hàng yếu kém ở cấp FSC​. Sự hiện diện này giúp KDIC nắm bắt tình hình và phối hợp hành động kịp thời với cơ quan giám sát. Trong thực tế, KDIC, FSC, FSS và Ngân hàng Trung ương Hàn Quốc còn lập các ủy ban hoặc nhóm công tác chung khi xử lý các tình huống ngân hàng khủng hoảng để đảm bảo thống nhất hành động.</w:t>
      </w:r>
    </w:p>
    <w:p w14:paraId="4226BD23" w14:textId="77777777" w:rsidR="004B2F00" w:rsidRPr="009A00DA" w:rsidRDefault="004B2F00" w:rsidP="004E30A9">
      <w:pPr>
        <w:pStyle w:val="Heading2"/>
        <w:spacing w:before="120" w:after="120" w:line="288" w:lineRule="auto"/>
        <w:ind w:firstLine="720"/>
        <w:jc w:val="both"/>
        <w:rPr>
          <w:rFonts w:ascii="Times New Roman" w:eastAsia="Calibri" w:hAnsi="Times New Roman"/>
          <w:b/>
          <w:color w:val="auto"/>
          <w:sz w:val="28"/>
          <w:szCs w:val="28"/>
        </w:rPr>
      </w:pPr>
      <w:r w:rsidRPr="009A00DA">
        <w:rPr>
          <w:rFonts w:ascii="Times New Roman" w:eastAsia="Calibri" w:hAnsi="Times New Roman"/>
          <w:b/>
          <w:color w:val="auto"/>
          <w:sz w:val="28"/>
          <w:szCs w:val="28"/>
        </w:rPr>
        <w:t>3. Tổng công ty BHTG Nhật Bản (DICJ)</w:t>
      </w:r>
    </w:p>
    <w:p w14:paraId="6332CF30" w14:textId="77777777" w:rsidR="004B2F00" w:rsidRPr="009A00DA" w:rsidRDefault="004B2F00" w:rsidP="004E30A9">
      <w:pPr>
        <w:pStyle w:val="Heading3"/>
        <w:spacing w:before="120" w:after="120" w:line="288" w:lineRule="auto"/>
        <w:ind w:firstLine="720"/>
        <w:jc w:val="both"/>
        <w:rPr>
          <w:rFonts w:ascii="Times New Roman" w:hAnsi="Times New Roman"/>
          <w:i/>
        </w:rPr>
      </w:pPr>
      <w:r w:rsidRPr="009A00DA">
        <w:rPr>
          <w:rFonts w:ascii="Times New Roman" w:hAnsi="Times New Roman"/>
          <w:i/>
        </w:rPr>
        <w:t>3.1. Hoạt động kiểm tra theo quy định tại Luật</w:t>
      </w:r>
    </w:p>
    <w:p w14:paraId="2F435EB9"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 xml:space="preserve">Luật BHTG quy định Chủ tịch Cơ quan dịch vụ tài chính (FSA) có thể giao quyền cho DICJ thực hiện kiểm tra tại chỗ tổ chức tài chính khi người lãnh đạo thấy việc kiểm tra là cần thiết, theo Điều 137, khổ (6), để đảm bảo việc thi hành hiệu quả Luật. Kiểm tra tại chỗ được xem là có thể tiến hành giám sát các vấn đề sau trong một trường hợp cụ thể: </w:t>
      </w:r>
    </w:p>
    <w:p w14:paraId="4695A377"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 xml:space="preserve">(a) việc chi trả phí bảo hiểm được thực hiện phù hợp (Điều 137, khổ (6), khoản (i) của Luật BHTG); </w:t>
      </w:r>
    </w:p>
    <w:p w14:paraId="75ACF846"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 xml:space="preserve">(b) các biện pháp phát triển cơ sở dữ liệu dựa trên tên người gửi tiền và các hệ thống được yêu cầu, v.v được thực hiện (khoản (ii) của khổ trên); </w:t>
      </w:r>
    </w:p>
    <w:p w14:paraId="07BD92CA"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 xml:space="preserve">(c) khối lượng chi trả dự kiến về tiền gửi và các yêu cầu bồi thường khác trong trường hợp đổ vỡ tổ chức tài chính (khoản (iii) của khổ trên); hoặc </w:t>
      </w:r>
    </w:p>
    <w:p w14:paraId="0EB4FE84"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(d) điều khoản thực thi các hoạt động kinh doanh quản lý và phân bổ tài sản do một tổ chức tài chính, v.v cần thiết để đảm bảo thực hiện hiệu quả việc xử lý theo trật tự của tổ chức tài chính (khoản (iv) của khổ trên.</w:t>
      </w:r>
    </w:p>
    <w:p w14:paraId="5094CB18"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Cũng có điều khoản phạt liên quan đến việc từ chối kiểm tra tại chỗ và các hoạt động không phù hợp khác (Điều 143, khổ (2) của Luật BHTG).</w:t>
      </w:r>
    </w:p>
    <w:p w14:paraId="774039F2" w14:textId="77777777" w:rsidR="004B2F00" w:rsidRPr="009A00DA" w:rsidRDefault="004B2F00" w:rsidP="004E30A9">
      <w:pPr>
        <w:pStyle w:val="Heading3"/>
        <w:spacing w:before="120" w:after="120" w:line="288" w:lineRule="auto"/>
        <w:ind w:firstLine="720"/>
        <w:jc w:val="both"/>
        <w:rPr>
          <w:rFonts w:ascii="Times New Roman" w:hAnsi="Times New Roman"/>
          <w:i/>
        </w:rPr>
      </w:pPr>
      <w:r w:rsidRPr="009A00DA">
        <w:rPr>
          <w:rFonts w:ascii="Times New Roman" w:hAnsi="Times New Roman"/>
          <w:i/>
        </w:rPr>
        <w:lastRenderedPageBreak/>
        <w:t>3.2. Thẩm quyền kiểm tra tại chỗ</w:t>
      </w:r>
    </w:p>
    <w:p w14:paraId="75FBFE22"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DICJ hoạt động theo mô hình giảm thiểu rủi ro. Trong khi chức năng giám sát ngân hàng chính thức thuộc về Cơ quan dịch vụ tài chính (FSA), DICJ chỉ tiến hành kiểm tra tại chỗ theo ủy quyền của FSA. Sau cải cách Luật BHTG năm 1996 theo hướng giảm thiểu rủi ro, DICJ được mở rộng vai trò, bao gồm cả nhiệm vụ xử lý ngân hàng đổ vỡ và một số quyền giám sát nhất định.</w:t>
      </w:r>
    </w:p>
    <w:p w14:paraId="5F515D0E"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Ngoài hoạt động kiểm tra theo quy định tại Luật BHTG Nhật Bản, khi được cơ quan có thẩm quyền yêu cầu, DICJ còn tiến hành kiểm tra tổ chức tài chính theo quy định tại Khoản 6 Điều 36 Luật Khắc phục Thiệt hại từ Tài khoản Tội phạm và tại Khoản 6 Điều 44 của Luật Sử dụng tiền gửi không hoạt động.</w:t>
      </w:r>
    </w:p>
    <w:p w14:paraId="4F6BC1EB"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 xml:space="preserve">Tính đến tháng 3/2024, có tổng cộng 548 tổ chức tham gia bảo hiểm tiền gửi tại Nhật Bản. Bao gồm các loại hình như: Ngân hàng; Ngân hàng tín dụng dài hạn;  Ngân hàng Shinkin; Hợp tác xã tín dụng; Ngân hàng lao động; Ngân hàng Trung ương Shinkin; Ngân hàng Liên đoàn Shinkumi; Ngân hàng Rokinren; Ngân hàng Shoko Chukin.  </w:t>
      </w:r>
    </w:p>
    <w:p w14:paraId="73FB3A6C" w14:textId="77777777" w:rsidR="004B2F00" w:rsidRPr="009A00DA" w:rsidRDefault="004B2F00" w:rsidP="004E30A9">
      <w:pPr>
        <w:pStyle w:val="Heading3"/>
        <w:spacing w:before="120" w:after="120" w:line="288" w:lineRule="auto"/>
        <w:ind w:firstLine="720"/>
        <w:jc w:val="both"/>
        <w:rPr>
          <w:rFonts w:ascii="Times New Roman" w:hAnsi="Times New Roman"/>
          <w:i/>
        </w:rPr>
      </w:pPr>
      <w:r w:rsidRPr="009A00DA">
        <w:rPr>
          <w:rFonts w:ascii="Times New Roman" w:hAnsi="Times New Roman"/>
          <w:i/>
        </w:rPr>
        <w:t>3.3. Nội dung kiểm tra</w:t>
      </w:r>
    </w:p>
    <w:p w14:paraId="07FD2A36"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 xml:space="preserve">(1) DICJ tiến hành kiểm tra theo quy định tại Khoản 6 Điều 137 của Luật Bảo hiểm tiền gửi bao gồm những nội dung sau: </w:t>
      </w:r>
    </w:p>
    <w:p w14:paraId="16491F87"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(i) Việc thanh toán phí bảo hiểm tiền gửi có được thực hiện đúng;</w:t>
      </w:r>
    </w:p>
    <w:p w14:paraId="0E4B4394"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(ii) Các biện pháp phát triển cơ sở dữ liệu theo tên người gửi tiền và các hệ thống liên quan có được thực hiện theo yêu cầu;</w:t>
      </w:r>
    </w:p>
    <w:p w14:paraId="786C4DD1"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(iii) Số tiền dự kiến sẽ chi trả đối với tiền gửi và các khoản yêu cầu khác trong trường hợp tổ chức tài chính bị phá sản;</w:t>
      </w:r>
    </w:p>
    <w:p w14:paraId="6DF24EF2"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(iv) Tình trạng thực hiện hoạt động kinh doanh, quản lý và xử lý tài sản của tổ chức tài chính để đảm bảo quá trình giải quyết có trật tự của tổ chức tài chính đó diễn ra suôn sẻ.</w:t>
      </w:r>
    </w:p>
    <w:p w14:paraId="03CB9C38"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Hiện tại, DICJ tập trung thực hiện kiểm tra các nội dung (i) và (ii) nêu trên để đảm bảo việc thanh toán phí BHTG được triển khai đúng; đồng thời đảm bảo việc chi trả BHTG diễn ra suôn sẻ trong trường hợp tổ chức tài chính bị phá sản (kiểm tra việc duy trì cơ sở dữ liệu theo tên người gửi tiền và việc xây dựng các quy trình và sổ tay hướng dẫn để thực hiện chi trả một cách hiệu quả).</w:t>
      </w:r>
    </w:p>
    <w:p w14:paraId="3534BF06"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 xml:space="preserve">Sau khi thực hiện kiểm tra tại chỗ, DICJ báo cáo FSA kết quả kiểm tra. Đối với các vấn đề được DICJ phát hiện trong quá trình kiểm tra, FSA hoặc Cơ quan Tài chính </w:t>
      </w:r>
      <w:r w:rsidRPr="00D601C9">
        <w:rPr>
          <w:rFonts w:ascii="Times New Roman" w:hAnsi="Times New Roman" w:cs="Times New Roman"/>
          <w:sz w:val="28"/>
          <w:szCs w:val="28"/>
        </w:rPr>
        <w:lastRenderedPageBreak/>
        <w:t xml:space="preserve">địa phương yêu cầu các tổ chức tài chính báo cáo về tình trạng cải thiện theo quy định của Điều 24 của Luật Ngân hàng và các quy định liên quan, sau đó tiến hành một buổi điều trần. DICJ cũng tham gia vào buổi điều trần này và đưa ra các khuyến nghị nhằm khuyến khích các tổ chức tài chính thực hiện các biện pháp cải thiện một cách hiệu quả. </w:t>
      </w:r>
    </w:p>
    <w:p w14:paraId="4391293D"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Trong năm tài chính 2022, DICJ thực hiện 41 cuộc kiểm tra tại chỗ theo quy định của Luật này, trong đó bao gồm: (i) 7 cuộc kiểm tra đối với Ngân hàng lao động, Ngân hàng Rokinren, Ngân hàng Shoko Chukin; (ii) 22 cuộc kiểm tra đối với Ngân hàng Shinkin và Ngân hàng Trung ương Shinkin; (iii) 12 cuộc kiểm tra đối với Hợp tác xã tín dụng và Ngân hàng Liên đoàn Shinkumi.</w:t>
      </w:r>
    </w:p>
    <w:p w14:paraId="32E7DDC1"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(2) Cơ quan có thẩm quyền có thể yêu cầu DICJ tiến hành kiểm tra tại chỗ một tổ chức tài chính theo quy định tại Khoản 6 Điều 36 của Luật Khắc phục Thiệt hại từ Tài khoản Tội phạm khi việc kiểm tra được cho là cần thiết. Các nội dung kiểm tra bao gồm:</w:t>
      </w:r>
    </w:p>
    <w:p w14:paraId="043311BB"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(i) Các thủ tục liên quan đến việc hết hiệu lực của các yêu cầu đối với tiền gửi, v.v (Chương III);</w:t>
      </w:r>
    </w:p>
    <w:p w14:paraId="363BD387"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(ii) Các thủ tục liên quan đến việc chi trả khoản bồi thường thiệt hại (Chương IV).</w:t>
      </w:r>
    </w:p>
    <w:p w14:paraId="302EBC68"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Trong năm tài chính 2022, DICJ thực hiện 32 cuộc kiểm tra tại chỗ theo quy định của Luật này, trong đó bao gồm: (i) 7 cuộc kiểm tra đối với Ngân hàng lao động, Ngân hàng Rokinren, Ngân hàng Shoko Chukin; (ii) 22 cuộc kiểm tra đối với Ngân hàng Shinkin và Ngân hàng Trung ương Shinkin; (iii) 3 cuộc kiểm tra đối với Hợp tác xã tín dụng và Ngân hàng Liên đoàn Shinkumi.</w:t>
      </w:r>
    </w:p>
    <w:p w14:paraId="0BFEBDDF"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(3) Cơ quan có thẩm quyền có thể yêu cầu DICJ tiến hành kiểm tra tại chỗ một tổ chức tài chính theo quy định tại Khoản 6 Điều 44 của Luật Luật Sử dụng tiền gửi không hoạt động khi việc kiểm tra được cho là cần thiết. Các nội dung kiểm tra bao gồm:</w:t>
      </w:r>
    </w:p>
    <w:p w14:paraId="46C6D08E"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(i) Các thủ tục liên quan đến việc chuyển giao và quản lý quỹ liên quan đến tiền gửi không hoạt động, v.v.</w:t>
      </w:r>
    </w:p>
    <w:p w14:paraId="543BA86F"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(ii) Việc ủy thác hoặc tái ủy thác hoạt động chi trả.</w:t>
      </w:r>
    </w:p>
    <w:p w14:paraId="0FB983CB"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 xml:space="preserve">DICJ tiến hành kiểm tra tại chỗ đối với các tổ chức tài chính thuộc diện kiểm tra theo Khoản 6 Điều 44 của Luật Sử dụng Tiền gửi Không hoạt động, đồng thời kết hợp với kiểm tra tại chỗ theo Khoản 6 Điều 137 của Luật Bảo hiểm Tiền gửi. </w:t>
      </w:r>
    </w:p>
    <w:p w14:paraId="5B01B193"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lastRenderedPageBreak/>
        <w:t>Trong năm tài chính 2022, DICJ thực hiện 6 cuộc kiểm tra tại chỗ theo quy định của Luật này, trong đó bao gồm: (i) 5 cuộc kiểm tra đối với Ngân hàng lao động, Ngân hàng Rokinren, Ngân hàng Shoko Chukin; (ii) 1 cuộc kiểm tra đối với Ngân hàng Shinkin.</w:t>
      </w:r>
    </w:p>
    <w:p w14:paraId="6B064265" w14:textId="77777777" w:rsidR="004B2F00" w:rsidRPr="009A00DA" w:rsidRDefault="004B2F00" w:rsidP="004E30A9">
      <w:pPr>
        <w:pStyle w:val="Heading3"/>
        <w:spacing w:before="120" w:after="120" w:line="288" w:lineRule="auto"/>
        <w:ind w:firstLine="720"/>
        <w:jc w:val="both"/>
        <w:rPr>
          <w:rFonts w:ascii="Times New Roman" w:hAnsi="Times New Roman"/>
          <w:i/>
        </w:rPr>
      </w:pPr>
      <w:r w:rsidRPr="009A00DA">
        <w:rPr>
          <w:rFonts w:ascii="Times New Roman" w:hAnsi="Times New Roman"/>
          <w:i/>
        </w:rPr>
        <w:t>3.4. Phối hợp với các cơ quan khác</w:t>
      </w:r>
    </w:p>
    <w:p w14:paraId="6A2E0F68"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 xml:space="preserve">DICJ hoạt động độc lập với Ngân hàng Trung ương Nhật Bản và không trực tiếp thực hiện các cuộc thanh tra an toàn vĩ mô như FSA. Tuy nhiên, DICJ có cơ chế phối hợp chia sẻ thông tin với FSA. Theo khuôn khổ pháp lý, FSA sẽ thông báo cho DICJ nếu một ngân hàng rơi vào tình trạng khó khăn, đồng thời cung cấp dữ liệu giám sát cần thiết để DICJ chuẩn bị phương án xử lý (ví dụ: dự kiến số tiền bảo hiểm phải chi). Ngược lại, DICJ cũng cung cấp cho FSA kết quả các cuộc kiểm tra của mình, đặc biệt là những phát hiện liên quan đến vi phạm nghĩa vụ nộp phí BHTG hoặc vấn đề trong quản lý dữ liệu tiền gửi. Sự phối hợp này đảm bảo khi một ngân hàng cần được xử lý (tái cơ cấu hoặc cho phá sản), cả FSA và DICJ đều có thông tin đầy đủ, thống nhất hành động nhằm bảo vệ người gửi tiền. </w:t>
      </w:r>
    </w:p>
    <w:p w14:paraId="0411E639"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Liên quan đến các vấn đề DICJ đã phát hiện ra, FSA hoặc Cục tài chính địa phương yêu cầu tổ chức tài chính báo cáo về kế hoạch để cải thiện như: kiểm tra lại các vấn đề, phân tích nguyên nhân của các vấn đề, giải pháp để xử lý các vấn đề… theo quy định tại Điều 24 Luật Ngân hàng. Sau đó, các tổ chức tài chính phải thực hiện một buổi báo cáo trực tiếp về các vấn đề trong quá trình DICJ thực hiện kiểm tra với FSA hoặc Cục tài chính địa phương. DICJ tham gia buổi báo cáo này và tư vấn cho các tổ chức tài chính để khuyến khích họ cải thiện các vấn đề hiệu quả.</w:t>
      </w:r>
    </w:p>
    <w:p w14:paraId="3DB9B93A" w14:textId="77777777" w:rsidR="004B2F00" w:rsidRPr="009A00DA" w:rsidRDefault="004B2F00" w:rsidP="004E30A9">
      <w:pPr>
        <w:pStyle w:val="Heading2"/>
        <w:spacing w:before="120" w:after="120" w:line="288" w:lineRule="auto"/>
        <w:ind w:firstLine="720"/>
        <w:jc w:val="both"/>
        <w:rPr>
          <w:rFonts w:ascii="Times New Roman" w:hAnsi="Times New Roman"/>
          <w:b/>
          <w:color w:val="auto"/>
          <w:sz w:val="28"/>
          <w:szCs w:val="28"/>
        </w:rPr>
      </w:pPr>
      <w:r w:rsidRPr="009A00DA">
        <w:rPr>
          <w:rFonts w:ascii="Times New Roman" w:eastAsia="Calibri" w:hAnsi="Times New Roman"/>
          <w:b/>
          <w:color w:val="auto"/>
          <w:sz w:val="28"/>
          <w:szCs w:val="28"/>
        </w:rPr>
        <w:t>4. Tổng công ty BHTG Đài Loan (CDIC Taiwan)</w:t>
      </w:r>
    </w:p>
    <w:p w14:paraId="1903B978" w14:textId="77777777" w:rsidR="004B2F00" w:rsidRPr="009A00DA" w:rsidRDefault="004B2F00" w:rsidP="004E30A9">
      <w:pPr>
        <w:pStyle w:val="Heading3"/>
        <w:spacing w:before="120" w:after="120" w:line="288" w:lineRule="auto"/>
        <w:ind w:firstLine="720"/>
        <w:jc w:val="both"/>
        <w:rPr>
          <w:rFonts w:ascii="Times New Roman" w:hAnsi="Times New Roman"/>
          <w:i/>
        </w:rPr>
      </w:pPr>
      <w:r w:rsidRPr="009A00DA">
        <w:rPr>
          <w:rFonts w:ascii="Times New Roman" w:hAnsi="Times New Roman"/>
          <w:i/>
        </w:rPr>
        <w:t>4.1. Hoạt động kiểm tra theo quy định tại Luật</w:t>
      </w:r>
    </w:p>
    <w:p w14:paraId="3EEEEA70"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 xml:space="preserve">Điều 24, Luật BHTG quy định CDIC có quyền kiểm tra những hạng mục sau đây của các tổ chức tham gia bảo hiểm: </w:t>
      </w:r>
    </w:p>
    <w:p w14:paraId="6EA4AD37"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1. Độ chính xác của cơ sở tính phí bảo hiểm tiền gửi và nội dung của các tệp dữ liệu điện tử được quy định ở Đoạn 1 trong Điều trên.</w:t>
      </w:r>
    </w:p>
    <w:p w14:paraId="3E9611B7"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2. Bất kỳ sự kiện nào làm chấm dứt hợp đồng bảo hiểm tiền gửi.</w:t>
      </w:r>
    </w:p>
    <w:p w14:paraId="1E326157"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3. Tài sản và nợ phải trả của các tổ chức tham gia bảo hiểm trước khi hoàn thành trách nhiệm bảo hiểm tiền gửi.</w:t>
      </w:r>
    </w:p>
    <w:p w14:paraId="0DCD0181"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 xml:space="preserve">4. Thông tin về tài sản và thông tin cần thiết khác để truy cứu trách nhiệm dân sự do các hành vi bất hợp pháp và những thiếu sót của những nhân viên của các tổ </w:t>
      </w:r>
      <w:r w:rsidRPr="00D601C9">
        <w:rPr>
          <w:rFonts w:ascii="Times New Roman" w:hAnsi="Times New Roman" w:cs="Times New Roman"/>
          <w:sz w:val="28"/>
          <w:szCs w:val="28"/>
        </w:rPr>
        <w:lastRenderedPageBreak/>
        <w:t>chức tham gia bảo hiểm bị đổ vỡ và những tổ chức tham gia bảo hiểm có vấn đề được nhận hỗ trợ tài chính theo quy định tại khoản 1 Điều 29.</w:t>
      </w:r>
    </w:p>
    <w:p w14:paraId="0CBF5C80"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Khi CDIC tiến hành kiểm tra theo Điểm 3 hoặc 4 của đoạn nêu trên, nếu một tổ chức tham gia bảo hiểm đã thực hiện bất kỳ việc chuyển tiền không phù hợp hoặc giao dịch tài sản với các công ty nắm giữ tài chính của mình, công ty con khác của mình, hoặc các bộ phận phi tín dụng của các hiệp hội nông dân hay ngư dân có khả năng gây nguy hiểm cho quỹ dự phòng đặc biệt dành cho thanh toán bảo hiểm, CDIC có thể báo cáo cho cơ quan có thẩm quyền hoặc cơ quan có thẩm quyền cấp trung ương trong lĩnh vực tài chính nông nghiệp và thực hiện kiểm tra, sau khi được chấp thuận, công ty nắm giữ tài chính, các công ty con, các bộ phận phi tín dụng của các hiệp hội</w:t>
      </w:r>
    </w:p>
    <w:p w14:paraId="244C5B8A"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Khi tiến hành việc kiểm tra như Quy định tại Điểm 4 Đoạn 1, CDIC có thể thu thập hoặc rà soát các thông tin có liên quan về đăng ký hộ gia đình và tài sản từ các cơ quan có thẩm quyền, các tổ chức tài chính và các đại lý nhận tiền gửi của các công ty chứng khoán.</w:t>
      </w:r>
    </w:p>
    <w:p w14:paraId="20608A16" w14:textId="77777777" w:rsidR="004B2F00" w:rsidRPr="009A00DA" w:rsidRDefault="004B2F00" w:rsidP="004E30A9">
      <w:pPr>
        <w:pStyle w:val="Heading3"/>
        <w:spacing w:before="120" w:after="120" w:line="288" w:lineRule="auto"/>
        <w:ind w:firstLine="720"/>
        <w:jc w:val="both"/>
        <w:rPr>
          <w:rFonts w:ascii="Times New Roman" w:hAnsi="Times New Roman"/>
          <w:i/>
        </w:rPr>
      </w:pPr>
      <w:r w:rsidRPr="009A00DA">
        <w:rPr>
          <w:rFonts w:ascii="Times New Roman" w:hAnsi="Times New Roman"/>
          <w:i/>
        </w:rPr>
        <w:t>4.2. Thẩm quyền kiểm tra tại chỗ</w:t>
      </w:r>
    </w:p>
    <w:p w14:paraId="329E3660"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 xml:space="preserve">CDIC hoạt động với chức năng tương tự mô hình “chi trả mở rộng”, nghĩa là ngoài nhiệm vụ chi trả, CDIC còn có một số quyền hạn nhất định trong giám sát và xử lý tổ chức được bảo hiểm. CDIC được trao một loạt quyền hạn rộng rãi để thu thập thông tin và đánh giá rủi ro: bao gồm tiến hành các cuộc thanh tra đặc biệt và kiểm tra tại chỗ, yêu cầu tổ chức thành viên lập kế hoạch khắc phục sai phạm, thậm chí có quyền chấm dứt bảo hiểm tiền gửi đối với tổ chức vi phạm nghiêm trọng. </w:t>
      </w:r>
    </w:p>
    <w:p w14:paraId="7A98C62E"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Tính đến ngày 31 tháng 12 năm 2023, tổng cộng có 403 tổ chức tài chính tham gia BHTG tại Đài Loan, bao gồm 03 tổ chức tài chính thuộc sở hữu chính phủ, 36 ngân hàng tư nhân, 30 chi nhánh Đài Loan của các ngân hàng nước ngoài và Trung Quốc đại lục, 23 hợp tác xã tín dụng, 283 phòng tín dụng của các hiệp hội nông dân và 28 phòng tín dụng của các hiệp hội ngư dân.</w:t>
      </w:r>
    </w:p>
    <w:p w14:paraId="51F7D396" w14:textId="77777777" w:rsidR="004B2F00" w:rsidRPr="009A00DA" w:rsidRDefault="004B2F00" w:rsidP="004E30A9">
      <w:pPr>
        <w:pStyle w:val="Heading3"/>
        <w:spacing w:before="120" w:after="120" w:line="288" w:lineRule="auto"/>
        <w:ind w:firstLine="720"/>
        <w:jc w:val="both"/>
        <w:rPr>
          <w:rFonts w:ascii="Times New Roman" w:hAnsi="Times New Roman"/>
          <w:i/>
        </w:rPr>
      </w:pPr>
      <w:r w:rsidRPr="009A00DA">
        <w:rPr>
          <w:rFonts w:ascii="Times New Roman" w:hAnsi="Times New Roman"/>
          <w:i/>
        </w:rPr>
        <w:t>4.3. Nội dung kiểm tra</w:t>
      </w:r>
    </w:p>
    <w:p w14:paraId="2B7D0B84"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Để đạt được các mục tiêu chính sách là nâng cao hiệu quả của hệ thống BHTG, thúc đẩy các tổ chức tài chính xây dựng hoạt động an toàn và lành mạnh, và duy trì trật tự tài chính ổn định, CDIC thực hiện kiểm tra các nội dung sau:</w:t>
      </w:r>
    </w:p>
    <w:p w14:paraId="772FA19D"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(1) Tính chính xác của cơ sở đánh giá phí bảo hiểm và dữ liệu chỉ số rủi ro cho tỷ lệ phí bảo hiểm khác biệt.</w:t>
      </w:r>
    </w:p>
    <w:p w14:paraId="7957FBFE"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lastRenderedPageBreak/>
        <w:t xml:space="preserve">(2) Kiểm tra việc thiết lập các tệp dữ liệu điện tử về tiền gửi và các mục liên quan theo định dạng và nội dung tệp theo quy định bởi CDIC của các tổ chức tham gia BHTG, và tính chính xác của nội dung dữ liệu. </w:t>
      </w:r>
    </w:p>
    <w:p w14:paraId="3F6B3822"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 xml:space="preserve">(3) Liệu có sự kiện nào xảy ra mà sẽ yêu cầu chấm dứt thỏa thuận bảo hiểm tiền gửi hay không. </w:t>
      </w:r>
    </w:p>
    <w:p w14:paraId="0F5549BF"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(4) Tài sản và nợ phải trả của các tổ chức được bảo hiểm trước khi thực hiện trách nhiệm bảo hiểm.</w:t>
      </w:r>
    </w:p>
    <w:p w14:paraId="55FACC3F"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Trong năm 2023, CDIC đã thực hiện các cuộc kiểm tra với các nội dung sau:</w:t>
      </w:r>
    </w:p>
    <w:p w14:paraId="117A7F01"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(1) CDIC đã tiến hành kiểm tra để xác minh tính chính xác của cơ sở tính phí bảo hiểm tiền gửi, dựa trên dữ liệu phí bảo hiểm tiền gửi được báo cáo bởi 45 tổ chức được bảo hiểm. Khi phát hiện ra những thiếu sót và/hoặc sai sót trong các cuộc kiểm tra nêu trên, CDIC đã yêu cầu bằng văn bản các tổ chức được bảo hiểm được kiểm tra thực hiện các cải thiện để đảm bảo tính chính xác của dữ liệu và tính toán phí bảo hiểm tiền gửi.</w:t>
      </w:r>
    </w:p>
    <w:p w14:paraId="23671558"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(2) CDIC đã tiến hành kiểm tra 45 tổ chức được bảo hiểm để xác minh tính chính xác của định dạng và nội dung của các tệp dữ liệu điện tử được thiết lập theo yêu cầu của pháp luật. Khi phát hiện ra những thiếu sót và/hoặc sai sót trong các cuộc kiểm tra nêu trên, CDIC đã giám sát nỗ lực của các tổ chức được kiểm tra để thực hiện các cải thiện.</w:t>
      </w:r>
    </w:p>
    <w:p w14:paraId="44AA8B7D"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(3) CDIC đã tiến hành kiểm tra dữ liệu và hồ sơ về các chỉ số rủi ro cho tỷ lệ phí bảo hiểm khác biệt được gửi bởi 74 tổ chức được bảo hiểm để xác minh tính chính xác của thông tin. Khi phát hiện ra những thiếu sót và/hoặc sai sót trong các cuộc kiểm tra nêu trên, CDIC đã yêu cầu bằng văn bản các tổ chức được bảo hiểm được kiểm tra thực hiện các chỉnh sửa để đảm bảo tính chính xác của thông tin được báo cáo.</w:t>
      </w:r>
    </w:p>
    <w:p w14:paraId="5DB60EEE" w14:textId="77777777" w:rsidR="004B2F00" w:rsidRPr="009A00DA" w:rsidRDefault="004B2F00" w:rsidP="004E30A9">
      <w:pPr>
        <w:pStyle w:val="Heading3"/>
        <w:spacing w:before="120" w:after="120" w:line="288" w:lineRule="auto"/>
        <w:ind w:firstLine="720"/>
        <w:jc w:val="both"/>
        <w:rPr>
          <w:rFonts w:ascii="Times New Roman" w:hAnsi="Times New Roman"/>
          <w:i/>
        </w:rPr>
      </w:pPr>
      <w:r w:rsidRPr="009A00DA">
        <w:rPr>
          <w:rFonts w:ascii="Times New Roman" w:hAnsi="Times New Roman"/>
          <w:i/>
        </w:rPr>
        <w:t>4.4. Phối hợp với các cơ quan khác</w:t>
      </w:r>
    </w:p>
    <w:p w14:paraId="2C67961B"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 xml:space="preserve">CDIC duy trì mối quan hệ hợp tác chặt chẽ với Ngân hàng Trung ương Đài Loan và Ủy ban Giám sát Tài chính (FSC). Trên thực tế, FSC chịu trách nhiệm chính về giám sát an toàn ngân hàng, còn CDIC chủ yếu chia sẻ thông tin và tham gia giám sát ở khía cạnh BHTG. CDIC nhận được báo cáo thanh tra định kỳ từ FSC và cũng cung cấp cho FSC kết quả các cuộc thanh kiểm tra đặc biệt do mình tiến hành. Đối với các ngân hàng có vấn đề, CDIC và FSC thường lập nhóm công tác chung để đánh giá và thống nhất biện pháp xử lý (VD: CDIC có thể đề xuất hỗ trợ tài chính để ngân </w:t>
      </w:r>
      <w:r w:rsidRPr="00D601C9">
        <w:rPr>
          <w:rFonts w:ascii="Times New Roman" w:hAnsi="Times New Roman" w:cs="Times New Roman"/>
          <w:sz w:val="28"/>
          <w:szCs w:val="28"/>
        </w:rPr>
        <w:lastRenderedPageBreak/>
        <w:t>hàng sáp nhập, trong khi FSC thực hiện giám sát tái cơ cấu). NHTW cũng tham gia trong việc hỗ trợ thanh khoản nếu cần, dưới sự điều phối của FSC.</w:t>
      </w:r>
    </w:p>
    <w:p w14:paraId="1CF654E4" w14:textId="77777777" w:rsidR="004B2F00" w:rsidRPr="009A00DA" w:rsidRDefault="004B2F00" w:rsidP="004E30A9">
      <w:pPr>
        <w:pStyle w:val="Heading2"/>
        <w:spacing w:before="120" w:after="120" w:line="288" w:lineRule="auto"/>
        <w:ind w:firstLine="720"/>
        <w:jc w:val="both"/>
        <w:rPr>
          <w:rFonts w:ascii="Times New Roman" w:hAnsi="Times New Roman"/>
          <w:b/>
          <w:color w:val="auto"/>
          <w:sz w:val="28"/>
          <w:szCs w:val="28"/>
        </w:rPr>
      </w:pPr>
      <w:r w:rsidRPr="009A00DA">
        <w:rPr>
          <w:rFonts w:ascii="Times New Roman" w:eastAsia="Calibri" w:hAnsi="Times New Roman"/>
          <w:b/>
          <w:color w:val="auto"/>
          <w:sz w:val="28"/>
          <w:szCs w:val="28"/>
        </w:rPr>
        <w:t>5. Tổng công ty BHTG Malaysia (PIDM)</w:t>
      </w:r>
    </w:p>
    <w:p w14:paraId="31236274" w14:textId="77777777" w:rsidR="004B2F00" w:rsidRPr="009A00DA" w:rsidRDefault="004B2F00" w:rsidP="004E30A9">
      <w:pPr>
        <w:pStyle w:val="Heading3"/>
        <w:spacing w:before="120" w:after="120" w:line="288" w:lineRule="auto"/>
        <w:ind w:firstLine="720"/>
        <w:jc w:val="both"/>
        <w:rPr>
          <w:rFonts w:ascii="Times New Roman" w:hAnsi="Times New Roman"/>
          <w:i/>
        </w:rPr>
      </w:pPr>
      <w:r w:rsidRPr="009A00DA">
        <w:rPr>
          <w:rFonts w:ascii="Times New Roman" w:hAnsi="Times New Roman"/>
          <w:i/>
        </w:rPr>
        <w:t>5.1. Hoạt động kiểm tra theo quy định tại Luật</w:t>
      </w:r>
    </w:p>
    <w:p w14:paraId="3584DBC0"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Theo quy định tại Phần IV về kiểm tra các tổ chức thành viên tại Luật BHTG Malaysia:</w:t>
      </w:r>
    </w:p>
    <w:p w14:paraId="44EF25E6"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Ngân hàng Negara Malaysia cung cấp thông tin</w:t>
      </w:r>
    </w:p>
    <w:p w14:paraId="258DB788"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Ngân hàng Negara Malaysia, trong một khoảng thời gian thích hợp, sẽ cung cấp cho Tổng công ty—</w:t>
      </w:r>
    </w:p>
    <w:p w14:paraId="48C6A11E"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các báo cáo bằng văn bản sau các cuộc kiểm tra được tiến hành theo điều 146 của Luật Dịch vụ Tài chính 2013 hoặc điều 158 của Luật Dịch vụ Tài chính Hồi giáo 2013 hoặc bất kỳ luật liên quan nào khác mà một tổ chức thành viên phải tuân thủ;</w:t>
      </w:r>
    </w:p>
    <w:p w14:paraId="071FC508"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xếp hạng hoặc bằng bất kỳ phương tiện nào khác, đánh giá về sự an toàn và lành mạnh của tổ chức thành viên, bao gồm tình hình tài chính của tổ chức đó;</w:t>
      </w:r>
    </w:p>
    <w:p w14:paraId="68D6822B"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bất kỳ thông tin nào mà Ngân hàng Negara Malaysia cho là liên quan đến bất kỳ vấn đề nào được đề cập trong đoạn (a) hoặc (b); hoặc</w:t>
      </w:r>
    </w:p>
    <w:p w14:paraId="084CA9A7"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bất kỳ thông tin nào mà Ngân hàng Negara Malaysia biết được về bất kỳ thay đổi nào trong hoàn cảnh của tổ chức thành viên mà có thể ảnh hưởng đáng kể đến vị thế của Tổng công ty.</w:t>
      </w:r>
    </w:p>
    <w:p w14:paraId="00153314"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Kiểm tra</w:t>
      </w:r>
    </w:p>
    <w:p w14:paraId="48553DB6"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(1) Vì mục đích của Luật này, Tổng công ty hoặc Ngân hàng Negara Malaysia, theo yêu cầu của Tổng công ty, có thể kiểm tra hoạt động của một tổ chức thành viên.</w:t>
      </w:r>
    </w:p>
    <w:p w14:paraId="092D58D9"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(2) Phạm vi kiểm tra theo khoản (1) có thể bao gồm việc kiểm tra—</w:t>
      </w:r>
    </w:p>
    <w:p w14:paraId="2BB622E6"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liệu các hồ sơ thích hợp và đầy đủ về các khoản nợ tiền gửi hoặc takaful hoặc quyền lợi bảo hiểm của tổ chức thành viên có được duy trì hay không;</w:t>
      </w:r>
    </w:p>
    <w:p w14:paraId="05658F86"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liệu các báo cáo do tổ chức thành viên lập về phí bảo hiểm, thuế, nợ tiền gửi, nợ takaful hoặc nợ bảo hiểm có cơ bản chính xác hay không;</w:t>
      </w:r>
    </w:p>
    <w:p w14:paraId="243FC379"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việc tuân thủ các điều khoản và điều kiện hoặc bất kỳ yêu cầu nào khác của tư cách thành viên; hoặc</w:t>
      </w:r>
    </w:p>
    <w:p w14:paraId="3D3AD0D9"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bất kỳ lĩnh vực nào khác mà Tổng công ty cho là thích hợp, sau khi tham khảo ý kiến của Ngân hàng Negara Malaysia.</w:t>
      </w:r>
    </w:p>
    <w:p w14:paraId="146AF126"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lastRenderedPageBreak/>
        <w:t>(3) Tổng công ty có thể ủy quyền cho người khác tiến hành bất kỳ cuộc kiểm tra nào theo khoản (2) hoặc khoản 97(1).</w:t>
      </w:r>
    </w:p>
    <w:p w14:paraId="65B1E9E3"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(4) Một bản sao của báo cáo về bất kỳ cuộc kiểm tra nào theo khoản (1) hoặc được ủy quyền theo khoản (3) sẽ được Tổng công ty cung cấp cho Ngân hàng Negara Malaysia trong vòng ba tháng sau khi hoàn thành cuộc kiểm tra.</w:t>
      </w:r>
    </w:p>
    <w:p w14:paraId="7566944F"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(5) Tổng công ty có thể thu hồi bất kỳ chi phí và phí tổn nào phát sinh theo điều này từ một tổ chức thành viên như một khoản nợ đến hạn và phải trả cho Tổng công ty.</w:t>
      </w:r>
    </w:p>
    <w:p w14:paraId="7B549BA6"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Kiểm tra đặc biệt</w:t>
      </w:r>
    </w:p>
    <w:p w14:paraId="77E4205E"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(1) Khi Tổng công ty có lý do để tin rằng cần tiến hành một cuộc thẩm định hoặc kiểm tra khác vì mục đích thực hiện bất kỳ quyền hạn nào của Tổng công ty theo điều 25 hoặc khoản 99(1) hoặc thực hiện thanh toán theo Chương 3 của Phần IV hoặc Chương 3 của Phần V, Tổng công ty có thể tiến hành một hoặc nhiều cuộc kiểm tra đặc biệt đối với một tổ chức thành viên.</w:t>
      </w:r>
    </w:p>
    <w:p w14:paraId="05BABA1A"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(2) Phạm vi kiểm tra đặc biệt theo khoản (1) có thể bao gồm việc kiểm tra hồ sơ, sổ sách, tài khoản hoặc các tài liệu và giao dịch khác của tổ chức thành viên.</w:t>
      </w:r>
    </w:p>
    <w:p w14:paraId="678225F9"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(3) Vì mục đích của điều này, một cán bộ, kiểm toán viên, người quản lý tài sản, người quản lý, người quản lý tài sản và người quản lý, người thanh lý hoặc đại lý của tổ chức thành viên hoặc bất kỳ người nào khác sẽ cung cấp cho các cán bộ hoặc nhân viên của Tổng công ty hoặc bất kỳ người nào khác được Tổng công ty chỉ định các tài liệu, vật liệu, thông tin hoặc giải thích mà Tổng công ty có thể yêu cầu.</w:t>
      </w:r>
    </w:p>
    <w:p w14:paraId="06F7B9F2"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(4) Tổng công ty có thể thu hồi chi phí và phí tổn của một cuộc kiểm tra đặc biệt từ tổ chức thành viên như một khoản nợ đến hạn và phải trả cho Tổng công ty.</w:t>
      </w:r>
    </w:p>
    <w:p w14:paraId="68A52F63"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(5) Tổng công ty sẽ lập báo cáo cho Ngân hàng Negara Malaysia sau khi hoàn thành cuộc kiểm tra đặc biệt.</w:t>
      </w:r>
    </w:p>
    <w:p w14:paraId="2417C4D4" w14:textId="77777777" w:rsidR="004B2F00" w:rsidRPr="009A00DA" w:rsidRDefault="004B2F00" w:rsidP="004E30A9">
      <w:pPr>
        <w:pStyle w:val="Heading3"/>
        <w:spacing w:before="120" w:after="120" w:line="288" w:lineRule="auto"/>
        <w:ind w:firstLine="720"/>
        <w:jc w:val="both"/>
        <w:rPr>
          <w:rFonts w:ascii="Times New Roman" w:hAnsi="Times New Roman"/>
          <w:i/>
        </w:rPr>
      </w:pPr>
      <w:r w:rsidRPr="009A00DA">
        <w:rPr>
          <w:rFonts w:ascii="Times New Roman" w:hAnsi="Times New Roman"/>
          <w:i/>
        </w:rPr>
        <w:t xml:space="preserve">5.2. Thẩm quyền kiểm tra và can thiệp </w:t>
      </w:r>
    </w:p>
    <w:p w14:paraId="3EE6C704" w14:textId="77777777" w:rsidR="004B2F00" w:rsidRPr="00D601C9" w:rsidRDefault="004B2F00" w:rsidP="004E30A9">
      <w:pPr>
        <w:spacing w:before="120" w:after="120" w:line="288" w:lineRule="auto"/>
        <w:jc w:val="both"/>
        <w:rPr>
          <w:rFonts w:ascii="Times New Roman" w:hAnsi="Times New Roman" w:cs="Times New Roman"/>
          <w:sz w:val="28"/>
          <w:szCs w:val="28"/>
        </w:rPr>
      </w:pPr>
      <w:r w:rsidRPr="00D601C9">
        <w:rPr>
          <w:rFonts w:ascii="Times New Roman" w:hAnsi="Times New Roman" w:cs="Times New Roman"/>
          <w:sz w:val="28"/>
          <w:szCs w:val="28"/>
        </w:rPr>
        <w:tab/>
        <w:t xml:space="preserve">PIDM hoạt động theo mô hình giảm thiểu rủi ro, có thẩm quyền sâu rộng trong việc đánh giá, can thiệp sớm đối với ngân hàng thành viên. Cụ thể, PIDM có quyền đề nghị Ngân hàng Trung ương Malaysia (Bank Negara Malaysia - BNM) áp dụng biện pháp khắc phục đối với ngân hàng yếu kém, bao gồm cả việc ban hành thông báo “không còn khả năng tồn tại”– đây là tín hiệu để chuyển ngân hàng sang giai đoạn xử lý do PIDM đảm nhiệm​. </w:t>
      </w:r>
    </w:p>
    <w:p w14:paraId="366DC1AA" w14:textId="77777777" w:rsidR="004B2F00" w:rsidRPr="00D601C9" w:rsidRDefault="004B2F00" w:rsidP="004E30A9">
      <w:pPr>
        <w:spacing w:before="120" w:after="120" w:line="288" w:lineRule="auto"/>
        <w:jc w:val="both"/>
        <w:rPr>
          <w:rFonts w:ascii="Times New Roman" w:hAnsi="Times New Roman" w:cs="Times New Roman"/>
          <w:sz w:val="28"/>
          <w:szCs w:val="28"/>
        </w:rPr>
      </w:pPr>
      <w:r w:rsidRPr="00D601C9">
        <w:rPr>
          <w:rFonts w:ascii="Times New Roman" w:hAnsi="Times New Roman" w:cs="Times New Roman"/>
          <w:sz w:val="28"/>
          <w:szCs w:val="28"/>
        </w:rPr>
        <w:lastRenderedPageBreak/>
        <w:tab/>
        <w:t>PIDM cũng có các quyền độc lập để giảm thiểu rủi ro trước khi ngân hàng đổ vỡ, chẳng hạn: áp dụng phụ phí bảo hiểm đối với tổ chức rủi ro cao, cấm hoặc hạn chế một số hoạt động của ngân hàng, yêu cầu thay đổi ban lãnh đạo ngân hàng, thực hiện thẩm định (due diligence) và kiểm tra tại chỗ và tiến hành các cuộc kiểm tra đặc biệt (sau khi tham vấn BNM)​. Những thẩm quyền này cho phép PIDM can thiệp khá sâu vào ngân hàng có vấn đề nhằm chấn chỉnh từ sớm.</w:t>
      </w:r>
    </w:p>
    <w:p w14:paraId="2BAB6F1A" w14:textId="1ADFFC23" w:rsidR="004B2F00" w:rsidRPr="009A00DA" w:rsidRDefault="004B2F00" w:rsidP="004E30A9">
      <w:pPr>
        <w:pStyle w:val="Heading3"/>
        <w:spacing w:before="120" w:after="120" w:line="288" w:lineRule="auto"/>
        <w:ind w:firstLine="720"/>
        <w:jc w:val="both"/>
        <w:rPr>
          <w:rFonts w:ascii="Times New Roman" w:hAnsi="Times New Roman"/>
          <w:i/>
        </w:rPr>
      </w:pPr>
      <w:r w:rsidRPr="009A00DA">
        <w:rPr>
          <w:rFonts w:ascii="Times New Roman" w:hAnsi="Times New Roman"/>
          <w:i/>
        </w:rPr>
        <w:t>5.3. Quy trình kiểm tra và giám sát</w:t>
      </w:r>
    </w:p>
    <w:p w14:paraId="6AD1F1D7" w14:textId="77777777" w:rsidR="004B2F00" w:rsidRPr="00D601C9" w:rsidRDefault="004B2F00" w:rsidP="004E30A9">
      <w:pPr>
        <w:spacing w:before="120" w:after="120" w:line="288" w:lineRule="auto"/>
        <w:jc w:val="both"/>
        <w:rPr>
          <w:rFonts w:ascii="Times New Roman" w:hAnsi="Times New Roman" w:cs="Times New Roman"/>
          <w:sz w:val="28"/>
          <w:szCs w:val="28"/>
        </w:rPr>
      </w:pPr>
      <w:r w:rsidRPr="00D601C9">
        <w:rPr>
          <w:rFonts w:ascii="Times New Roman" w:hAnsi="Times New Roman" w:cs="Times New Roman"/>
          <w:sz w:val="28"/>
          <w:szCs w:val="28"/>
        </w:rPr>
        <w:tab/>
        <w:t>PIDM và Ngân hàng Trung ương Malaysia có cơ chế phối hợp rất chặt chẽ thông qua Thỏa thuận Liên minh chiến lược (Strategic Alliance Agreement - SAA) giữa hai bên​. Theo đó, BNM chia sẻ định kỳ thông tin giám sát ngân hàng cho PIDM, và hai bên cùng xác định các tiêu chí cụ thể để kích hoạt giai đoạn can thiệp sớm. Khi các chỉ số của một ngân hàng đạt mức cảnh báo, BNM và PIDM sẽ cùng đánh giá tình hình. PIDM có thể cử chuyên gia phối hợp với thanh tra BNM tiến hành kiểm tra tại chỗ bổ sung (nếu cần) để thẩm định chi tiết hơn về tình trạng ngân hàng. Trong giai đoạn can thiệp, PIDM kích hoạt các quyền hạn đặc thù của mình như đã nêu: ví dụ, nếu nhận thấy quản trị ngân hàng yếu kém, PIDM có thể yêu cầu thay thế giám đốc hoặc ban điều hành; nếu ngân hàng vi phạm nhiều quy định, PIDM có thể phạt phụ thu phí bảo hiểm để răn đe. Đặc biệt, PIDM có thể tiến hành kiểm tra tại chỗ độc lập nhằm thu thập thông tin chuẩn bị cho phương án xử lý (thanh tra hệ thống sổ sách, đánh giá giá trị tài sản, v.v.) trước khi có quyết định chính thức về việc cho ngân hàng phá sản hoặc hỗ trợ ngân hàng đó​</w:t>
      </w:r>
    </w:p>
    <w:p w14:paraId="1337A431" w14:textId="77777777" w:rsidR="004B2F00" w:rsidRPr="00D9223A" w:rsidRDefault="004B2F00" w:rsidP="004E30A9">
      <w:pPr>
        <w:pStyle w:val="Heading3"/>
        <w:spacing w:before="120" w:after="120" w:line="288" w:lineRule="auto"/>
        <w:ind w:firstLine="720"/>
        <w:jc w:val="both"/>
        <w:rPr>
          <w:rFonts w:ascii="Times New Roman" w:hAnsi="Times New Roman"/>
          <w:i/>
        </w:rPr>
      </w:pPr>
      <w:r w:rsidRPr="00D9223A">
        <w:rPr>
          <w:rFonts w:ascii="Times New Roman" w:hAnsi="Times New Roman"/>
          <w:i/>
        </w:rPr>
        <w:t>5.4. Nội dung kiểm tra</w:t>
      </w:r>
    </w:p>
    <w:p w14:paraId="58A2B29B"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eastAsia="Arial" w:hAnsi="Times New Roman" w:cs="Times New Roman"/>
          <w:i/>
          <w:sz w:val="28"/>
          <w:szCs w:val="28"/>
        </w:rPr>
        <w:t>Điều 96, Luật PIDM</w:t>
      </w:r>
      <w:r w:rsidRPr="00D601C9">
        <w:rPr>
          <w:rFonts w:ascii="Times New Roman" w:eastAsia="Arial" w:hAnsi="Times New Roman" w:cs="Times New Roman"/>
          <w:sz w:val="28"/>
          <w:szCs w:val="28"/>
        </w:rPr>
        <w:t>: PIDM có thể kiểm tra tổ chức thành viên</w:t>
      </w:r>
    </w:p>
    <w:p w14:paraId="74AAD719" w14:textId="77777777" w:rsidR="004B2F00" w:rsidRPr="00D601C9" w:rsidRDefault="004B2F00" w:rsidP="004E30A9">
      <w:pPr>
        <w:spacing w:before="120" w:after="120" w:line="288" w:lineRule="auto"/>
        <w:ind w:firstLine="720"/>
        <w:jc w:val="both"/>
        <w:rPr>
          <w:rFonts w:ascii="Times New Roman" w:eastAsia="Arial" w:hAnsi="Times New Roman" w:cs="Times New Roman"/>
          <w:sz w:val="28"/>
          <w:szCs w:val="28"/>
        </w:rPr>
      </w:pPr>
      <w:r w:rsidRPr="00D601C9">
        <w:rPr>
          <w:rFonts w:ascii="Times New Roman" w:eastAsia="Arial" w:hAnsi="Times New Roman" w:cs="Times New Roman"/>
          <w:sz w:val="28"/>
          <w:szCs w:val="28"/>
        </w:rPr>
        <w:t>- Hồ sơ tiền gửi;</w:t>
      </w:r>
    </w:p>
    <w:p w14:paraId="590ABE69" w14:textId="77777777" w:rsidR="004B2F00" w:rsidRPr="00D601C9" w:rsidRDefault="004B2F00" w:rsidP="004E30A9">
      <w:pPr>
        <w:spacing w:before="120" w:after="120" w:line="288" w:lineRule="auto"/>
        <w:ind w:firstLine="720"/>
        <w:jc w:val="both"/>
        <w:rPr>
          <w:rFonts w:ascii="Times New Roman" w:eastAsia="Arial" w:hAnsi="Times New Roman" w:cs="Times New Roman"/>
          <w:sz w:val="28"/>
          <w:szCs w:val="28"/>
        </w:rPr>
      </w:pPr>
      <w:r w:rsidRPr="00D601C9">
        <w:rPr>
          <w:rFonts w:ascii="Times New Roman" w:eastAsia="Arial" w:hAnsi="Times New Roman" w:cs="Times New Roman"/>
          <w:sz w:val="28"/>
          <w:szCs w:val="28"/>
        </w:rPr>
        <w:t>- Kiểm tra sự tuân thủ;</w:t>
      </w:r>
    </w:p>
    <w:p w14:paraId="0C37A461" w14:textId="77777777" w:rsidR="004B2F00" w:rsidRPr="00D601C9" w:rsidRDefault="004B2F00" w:rsidP="004E30A9">
      <w:pPr>
        <w:spacing w:before="120" w:after="120" w:line="288" w:lineRule="auto"/>
        <w:ind w:firstLine="720"/>
        <w:jc w:val="both"/>
        <w:rPr>
          <w:rFonts w:ascii="Times New Roman" w:eastAsia="Arial" w:hAnsi="Times New Roman" w:cs="Times New Roman"/>
          <w:sz w:val="28"/>
          <w:szCs w:val="28"/>
        </w:rPr>
      </w:pPr>
      <w:r w:rsidRPr="00D601C9">
        <w:rPr>
          <w:rFonts w:ascii="Times New Roman" w:eastAsia="Arial" w:hAnsi="Times New Roman" w:cs="Times New Roman"/>
          <w:sz w:val="28"/>
          <w:szCs w:val="28"/>
        </w:rPr>
        <w:t xml:space="preserve">- Báo cáo về phí </w:t>
      </w:r>
      <w:r w:rsidRPr="00D601C9">
        <w:rPr>
          <w:rFonts w:ascii="Times New Roman" w:eastAsia="SimSun" w:hAnsi="Times New Roman" w:cs="Times New Roman"/>
          <w:sz w:val="28"/>
          <w:szCs w:val="28"/>
        </w:rPr>
        <w:t>BHTG</w:t>
      </w:r>
      <w:r w:rsidRPr="00D601C9">
        <w:rPr>
          <w:rFonts w:ascii="Times New Roman" w:eastAsia="Arial" w:hAnsi="Times New Roman" w:cs="Times New Roman"/>
          <w:sz w:val="28"/>
          <w:szCs w:val="28"/>
        </w:rPr>
        <w:t>, khoản phải thu, nợ phải trả…;</w:t>
      </w:r>
    </w:p>
    <w:p w14:paraId="4DA9D5BC" w14:textId="77777777" w:rsidR="004B2F00" w:rsidRPr="00D601C9" w:rsidRDefault="004B2F00" w:rsidP="004E30A9">
      <w:pPr>
        <w:spacing w:before="120" w:after="120" w:line="288" w:lineRule="auto"/>
        <w:ind w:firstLine="720"/>
        <w:jc w:val="both"/>
        <w:rPr>
          <w:rFonts w:ascii="Times New Roman" w:eastAsia="Arial" w:hAnsi="Times New Roman" w:cs="Times New Roman"/>
          <w:sz w:val="28"/>
          <w:szCs w:val="28"/>
        </w:rPr>
      </w:pPr>
      <w:r w:rsidRPr="00D601C9">
        <w:rPr>
          <w:rFonts w:ascii="Times New Roman" w:eastAsia="Arial" w:hAnsi="Times New Roman" w:cs="Times New Roman"/>
          <w:sz w:val="28"/>
          <w:szCs w:val="28"/>
        </w:rPr>
        <w:t>- Bất kỳ lĩnh vực nào khác mà PIDM cho là phù hợp, sau khi tham vấn với NHTW Malaysia.</w:t>
      </w:r>
    </w:p>
    <w:p w14:paraId="0779657E" w14:textId="77777777" w:rsidR="004B2F00" w:rsidRPr="00D601C9" w:rsidRDefault="004B2F00" w:rsidP="004E30A9">
      <w:pPr>
        <w:spacing w:before="120" w:after="120" w:line="288" w:lineRule="auto"/>
        <w:ind w:firstLine="720"/>
        <w:jc w:val="both"/>
        <w:rPr>
          <w:rFonts w:ascii="Times New Roman" w:eastAsia="Arial" w:hAnsi="Times New Roman" w:cs="Times New Roman"/>
          <w:sz w:val="28"/>
          <w:szCs w:val="28"/>
        </w:rPr>
      </w:pPr>
      <w:r w:rsidRPr="00D601C9">
        <w:rPr>
          <w:rFonts w:ascii="Times New Roman" w:eastAsia="Arial" w:hAnsi="Times New Roman" w:cs="Times New Roman"/>
          <w:i/>
          <w:sz w:val="28"/>
          <w:szCs w:val="28"/>
        </w:rPr>
        <w:t>Điều 97, Luật PIDM</w:t>
      </w:r>
      <w:r w:rsidRPr="00D601C9">
        <w:rPr>
          <w:rFonts w:ascii="Times New Roman" w:eastAsia="Arial" w:hAnsi="Times New Roman" w:cs="Times New Roman"/>
          <w:sz w:val="28"/>
          <w:szCs w:val="28"/>
        </w:rPr>
        <w:t>: PIDM có thể tiến hành kiểm tra đặc biệt.</w:t>
      </w:r>
    </w:p>
    <w:p w14:paraId="57373E3B" w14:textId="77777777" w:rsidR="004B2F00" w:rsidRPr="00D601C9" w:rsidRDefault="004B2F00" w:rsidP="004E30A9">
      <w:pPr>
        <w:spacing w:before="120" w:after="120" w:line="288" w:lineRule="auto"/>
        <w:ind w:firstLine="720"/>
        <w:jc w:val="both"/>
        <w:rPr>
          <w:rFonts w:ascii="Times New Roman" w:eastAsia="Arial" w:hAnsi="Times New Roman" w:cs="Times New Roman"/>
          <w:sz w:val="28"/>
          <w:szCs w:val="28"/>
        </w:rPr>
      </w:pPr>
      <w:r w:rsidRPr="00D601C9">
        <w:rPr>
          <w:rFonts w:ascii="Times New Roman" w:eastAsia="Arial" w:hAnsi="Times New Roman" w:cs="Times New Roman"/>
          <w:sz w:val="28"/>
          <w:szCs w:val="28"/>
        </w:rPr>
        <w:t>Phạm vi kiểm tra đặc biệt có thể bao gồm việc kiểm tra hồ sơ, sổ sách, tài khoản hoặc các tài liệu và giao dịch khác của tổ chức thành viên.</w:t>
      </w:r>
    </w:p>
    <w:p w14:paraId="7D5B44C2" w14:textId="77777777" w:rsidR="004B2F00" w:rsidRPr="00D601C9" w:rsidRDefault="004B2F00" w:rsidP="004E30A9">
      <w:pPr>
        <w:spacing w:before="120" w:after="120" w:line="288" w:lineRule="auto"/>
        <w:ind w:firstLine="720"/>
        <w:jc w:val="both"/>
        <w:rPr>
          <w:rFonts w:ascii="Times New Roman" w:eastAsia="Arial" w:hAnsi="Times New Roman" w:cs="Times New Roman"/>
          <w:spacing w:val="4"/>
          <w:sz w:val="28"/>
          <w:szCs w:val="28"/>
        </w:rPr>
      </w:pPr>
      <w:r w:rsidRPr="00D601C9">
        <w:rPr>
          <w:rFonts w:ascii="Times New Roman" w:eastAsia="Arial" w:hAnsi="Times New Roman" w:cs="Times New Roman"/>
          <w:spacing w:val="4"/>
          <w:sz w:val="28"/>
          <w:szCs w:val="28"/>
        </w:rPr>
        <w:t>PIDM phải lập báo cáo cho NHTW Malaysia sau khi kiểm tra đặc biệt.</w:t>
      </w:r>
    </w:p>
    <w:p w14:paraId="3169B2D3" w14:textId="77777777" w:rsidR="004B2F00" w:rsidRDefault="004B2F00" w:rsidP="004E30A9">
      <w:pPr>
        <w:pStyle w:val="Heading3"/>
        <w:spacing w:before="120" w:after="120" w:line="288" w:lineRule="auto"/>
        <w:ind w:firstLine="720"/>
        <w:rPr>
          <w:rFonts w:ascii="Times New Roman" w:hAnsi="Times New Roman"/>
          <w:i/>
        </w:rPr>
      </w:pPr>
      <w:r w:rsidRPr="00D9223A">
        <w:rPr>
          <w:rFonts w:ascii="Times New Roman" w:hAnsi="Times New Roman"/>
          <w:i/>
        </w:rPr>
        <w:lastRenderedPageBreak/>
        <w:t>5.5. Tần suất kiểm tra:</w:t>
      </w:r>
    </w:p>
    <w:p w14:paraId="3EFE154E" w14:textId="77777777" w:rsidR="004B2F00" w:rsidRPr="00D9223A" w:rsidRDefault="004B2F00" w:rsidP="004E30A9">
      <w:pPr>
        <w:spacing w:before="120" w:after="120" w:line="288" w:lineRule="auto"/>
        <w:ind w:firstLine="720"/>
        <w:jc w:val="both"/>
        <w:rPr>
          <w:rFonts w:ascii="Times New Roman" w:hAnsi="Times New Roman" w:cs="Times New Roman"/>
          <w:sz w:val="28"/>
          <w:szCs w:val="28"/>
        </w:rPr>
      </w:pPr>
      <w:r>
        <w:rPr>
          <w:rFonts w:ascii="Times New Roman" w:hAnsi="Times New Roman" w:cs="Times New Roman"/>
          <w:sz w:val="28"/>
          <w:szCs w:val="28"/>
        </w:rPr>
        <w:t>K</w:t>
      </w:r>
      <w:r w:rsidRPr="00D9223A">
        <w:rPr>
          <w:rFonts w:ascii="Times New Roman" w:hAnsi="Times New Roman" w:cs="Times New Roman"/>
          <w:sz w:val="28"/>
          <w:szCs w:val="28"/>
        </w:rPr>
        <w:t>iểm tra đột xuất và kiểm tra đặc biệt.</w:t>
      </w:r>
    </w:p>
    <w:p w14:paraId="34842435" w14:textId="77777777" w:rsidR="004B2F00" w:rsidRPr="00C651E3" w:rsidRDefault="004B2F00" w:rsidP="004E30A9">
      <w:pPr>
        <w:pStyle w:val="Heading3"/>
        <w:spacing w:before="120" w:after="120" w:line="288" w:lineRule="auto"/>
        <w:ind w:firstLine="720"/>
        <w:jc w:val="both"/>
        <w:rPr>
          <w:rFonts w:ascii="Times New Roman" w:hAnsi="Times New Roman"/>
          <w:i/>
        </w:rPr>
      </w:pPr>
      <w:r w:rsidRPr="00C651E3">
        <w:rPr>
          <w:rFonts w:ascii="Times New Roman" w:hAnsi="Times New Roman"/>
          <w:i/>
        </w:rPr>
        <w:t>5.6. Phối hợp với Ngân hàng Trung ương</w:t>
      </w:r>
    </w:p>
    <w:p w14:paraId="4C6DDB0C"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PIDM và BNM trao đổi thông tin liên tục ở mọi giai đoạn giám sát và xử lý tổ chức tín dụng​. Khi BNM giám sát thường xuyên, PIDM cùng tham gia phân tích báo cáo để tính phí bảo hiểm theo mức độ rủi ro từng ngân hàng. Nếu BNM phát hiện dấu hiệu bất thường, PIDM được thông báo sớm và tham gia ngay từ đầu. Ngược lại, trong quá trình PIDM chuẩn bị xử lý một ngân hàng (ví dụ lên phương án ngân hàng bắc cầu, hỗ trợ tài chính), BNM cung cấp mọi dữ liệu cần thiết và hỗ trợ về thẩm định, đánh giá tài sản. Ngoài ra, theo SAA, hai tổ chức còn tổ chức các cuộc diễn tập xử lý khủng hoảng chung, trao đổi nhân sự để hiểu rõ quy trình của nhau</w:t>
      </w:r>
    </w:p>
    <w:p w14:paraId="2D793460" w14:textId="77777777" w:rsidR="004B2F00" w:rsidRPr="0083363A" w:rsidRDefault="004B2F00" w:rsidP="004E30A9">
      <w:pPr>
        <w:pStyle w:val="Heading2"/>
        <w:spacing w:before="120" w:after="120" w:line="288" w:lineRule="auto"/>
        <w:ind w:firstLine="720"/>
        <w:jc w:val="both"/>
        <w:rPr>
          <w:rFonts w:ascii="Times New Roman" w:eastAsia="Calibri" w:hAnsi="Times New Roman"/>
          <w:b/>
          <w:color w:val="auto"/>
          <w:sz w:val="28"/>
          <w:szCs w:val="28"/>
        </w:rPr>
      </w:pPr>
      <w:r w:rsidRPr="0083363A">
        <w:rPr>
          <w:rFonts w:ascii="Times New Roman" w:eastAsia="Calibri" w:hAnsi="Times New Roman"/>
          <w:b/>
          <w:color w:val="auto"/>
          <w:sz w:val="28"/>
          <w:szCs w:val="28"/>
        </w:rPr>
        <w:t>6. Tổng công ty BHTG Indonesia (IDIC)</w:t>
      </w:r>
    </w:p>
    <w:p w14:paraId="1DDB18A0" w14:textId="77777777" w:rsidR="004B2F00" w:rsidRPr="0083363A" w:rsidRDefault="004B2F00" w:rsidP="004E30A9">
      <w:pPr>
        <w:pStyle w:val="Heading3"/>
        <w:spacing w:before="120" w:after="120" w:line="288" w:lineRule="auto"/>
        <w:ind w:firstLine="720"/>
        <w:rPr>
          <w:rFonts w:ascii="Times New Roman" w:eastAsiaTheme="minorHAnsi" w:hAnsi="Times New Roman"/>
          <w:i/>
        </w:rPr>
      </w:pPr>
      <w:r w:rsidRPr="0083363A">
        <w:rPr>
          <w:rFonts w:ascii="Times New Roman" w:hAnsi="Times New Roman"/>
          <w:i/>
        </w:rPr>
        <w:t>6.1. Hoạt động kiểm tra theo quy định tại Luật</w:t>
      </w:r>
    </w:p>
    <w:p w14:paraId="794C6C1E"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Luật BHTG Indonesia quy định về hoạt động kiểm tra của IDIC tại Điều 14 như sau:</w:t>
      </w:r>
    </w:p>
    <w:p w14:paraId="03DCAB5F"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(1) Ngân hàng tự thực hiện tính toán phí bảo hiểm tiền gửi phải nộp.</w:t>
      </w:r>
    </w:p>
    <w:p w14:paraId="43A7015A"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(2) IDIC có thể thực hiện kiểm tra việc tính phí quy định tại Khoản (1).</w:t>
      </w:r>
    </w:p>
    <w:p w14:paraId="78EBA91E"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(3) Việc kiểm tra có thể được thực hiện thông qua kiểm tra hồ sơ, đối thoại với lãnh đạo ngân hàng, và/hoặc thực hiện kiểm tra trực tiếp tại ngân hàng.</w:t>
      </w:r>
    </w:p>
    <w:p w14:paraId="03C3D26C"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(4) Kiểm tra trực tiếp ngân hàng như quy định tại Khoản (3) do Cơ quan giám sát thực hiện trên cơ sở yêu cầu của IDIC.</w:t>
      </w:r>
    </w:p>
    <w:p w14:paraId="0A6C29B7"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(5) Cơ quan giám sát phải hoàn thành kiểm tra trực tiếp ngân hàng theo quy định tại khoản (3) trong vòng muộn nhất là 3 tháng kể từ thời điểm nhận được yêu cầu của IDIC.</w:t>
      </w:r>
    </w:p>
    <w:p w14:paraId="728918F6"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(6) Trong trường hợp có sự khác biệt giữa tính phí của ngân hàng và kết quả kiểm tra nêu tại khoản (2), ngân hàng phải điều chỉnh số phí nộp vào kỳ nộp phí tiếp theo theo kết quả kiểm tra của IDIC.”</w:t>
      </w:r>
    </w:p>
    <w:p w14:paraId="108F7A26"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 xml:space="preserve">Ngoài ra, hoạt động kiểm tra đặc biệt (due diligence) được tiến hành với các ngân hàng thuộc diện phục hồi nhằm chuẩn bị cho quá trình xử lý ngân hàng, chi trả và thanh lý. Hoạt động kiểm tra đặc biệt bao gồm kiểm tra về tài chính, pháp lý, tuyển dụng, hệ thống thông tin, đồng thời xác định những khoản mục tài sản và nợ có thể chuyển giao cho ngân hàng khác, định giá tài sản và nợ, xác định những chức năng và </w:t>
      </w:r>
      <w:r w:rsidRPr="00D601C9">
        <w:rPr>
          <w:rFonts w:ascii="Times New Roman" w:hAnsi="Times New Roman" w:cs="Times New Roman"/>
          <w:sz w:val="28"/>
          <w:szCs w:val="28"/>
        </w:rPr>
        <w:lastRenderedPageBreak/>
        <w:t>hoạt động cơ bản của ngân hàng, xác định triển vọng kinh doanh của ngân hàng, phân tích rủi ro, xác định những cáo buộc gian lận.</w:t>
      </w:r>
    </w:p>
    <w:p w14:paraId="6B4DC31E" w14:textId="77777777" w:rsidR="004B2F00" w:rsidRPr="0083363A" w:rsidRDefault="004B2F00" w:rsidP="004E30A9">
      <w:pPr>
        <w:pStyle w:val="Heading3"/>
        <w:spacing w:before="120" w:after="120" w:line="288" w:lineRule="auto"/>
        <w:ind w:firstLine="720"/>
        <w:jc w:val="both"/>
        <w:rPr>
          <w:rFonts w:ascii="Times New Roman" w:hAnsi="Times New Roman"/>
          <w:i/>
        </w:rPr>
      </w:pPr>
      <w:r w:rsidRPr="0083363A">
        <w:rPr>
          <w:rFonts w:ascii="Times New Roman" w:hAnsi="Times New Roman"/>
          <w:i/>
        </w:rPr>
        <w:t>6.2. Thẩm quyền và vai trò của IDIC</w:t>
      </w:r>
    </w:p>
    <w:p w14:paraId="21434266"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IDIC được thành lập năm 2005 với chức năng chính là BHTG và xử lý ngân hàng đổ vỡ tại Indonesia​. Khác với FDIC hay PIDM, IDIC không đóng vai trò cơ quan giám sát thường xuyên mà thiên về chức năng xử lý khi ngân hàng gặp vấn đề. Hoạt động thanh kiểm tra, giám sát an toàn vĩ mô đối với các ngân hàng Indonesia do Cơ quan Dịch vụ Tài chính (OJK) đảm nhiệm. Tuy nhiên, IDIC có quyền yêu cầu và nhận thông tin về tình trạng các ngân hàng từ OJK, đặc biệt khi ngân hàng bị xếp vào diện “giám sát đặc biệt” (special surveillance) do yếu kém. Theo thỏa thuận (MOU) giữa OJK và IDIC, OJK sẽ thông báo cho IDIC và cung cấp thông tin mật liên quan khi một ngân hàng rơi vào tình trạng xấu, cần sự chuẩn bị xử lý củ</w:t>
      </w:r>
      <w:r>
        <w:rPr>
          <w:rFonts w:ascii="Times New Roman" w:hAnsi="Times New Roman" w:cs="Times New Roman"/>
          <w:sz w:val="28"/>
          <w:szCs w:val="28"/>
        </w:rPr>
        <w:t>a IDIC</w:t>
      </w:r>
      <w:r w:rsidRPr="00D601C9">
        <w:rPr>
          <w:rFonts w:ascii="Times New Roman" w:hAnsi="Times New Roman" w:cs="Times New Roman"/>
          <w:sz w:val="28"/>
          <w:szCs w:val="28"/>
        </w:rPr>
        <w:t>.</w:t>
      </w:r>
    </w:p>
    <w:p w14:paraId="2C56F722"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Gần đây, Indonesia cũng ban hành Luật Phát triển và Tăng cường khu vực tài chính (P2SK Law 2023) mở rộng vai trò của IDIC, yêu cầu IDIC tham gia tích cực hơn vào duy trì ổn định hệ thống tài chính.</w:t>
      </w:r>
    </w:p>
    <w:p w14:paraId="1F53900C"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Mặc dù IDIC không trực tiếp kiểm tra định kỳ ngân hàng, luật pháp có trao cho IDIC một số quyền hạn trong việc kiểm tra, xác minh dữ liệu tiền gửi tại ngân hàng khi cần thiết. Chẳng hạn, khi có dấu hiệu ngân hàng có thể bị đóng cửa, IDIC được phép kiểm tra hồ sơ tiền gửi của ngân hàng đó để xác định các khoản tiền gửi nào đủ điều kiện được bảo hiểm chi trả​</w:t>
      </w:r>
      <w:r w:rsidRPr="00D601C9">
        <w:rPr>
          <w:rStyle w:val="FootnoteReference"/>
          <w:rFonts w:ascii="Times New Roman" w:hAnsi="Times New Roman" w:cs="Times New Roman"/>
          <w:sz w:val="28"/>
          <w:szCs w:val="28"/>
        </w:rPr>
        <w:footnoteReference w:id="19"/>
      </w:r>
      <w:r w:rsidRPr="00D601C9">
        <w:rPr>
          <w:rFonts w:ascii="Times New Roman" w:hAnsi="Times New Roman" w:cs="Times New Roman"/>
          <w:sz w:val="28"/>
          <w:szCs w:val="28"/>
        </w:rPr>
        <w:t xml:space="preserve"> . Ngoài ra, IDIC cũng có quyền đánh giá và xác minh giá trị tài sản, sổ sách của ngân hàng như một phần của quá trình lên kế hoạch xử lý (ví dụ như định giá tài sản để bán hoặc chuyển giao). Những hoạt động kiểm tra, thẩm định này thường diễn ra trong giai đoạn rất gần với thời điểm ngân hàng bị đóng cửa hoặc ngay sau khi IDIC tiếp quản ngân hàng.</w:t>
      </w:r>
    </w:p>
    <w:p w14:paraId="63C9D4C7" w14:textId="77777777" w:rsidR="004B2F00" w:rsidRPr="00F32F9A" w:rsidRDefault="004B2F00" w:rsidP="004E30A9">
      <w:pPr>
        <w:pStyle w:val="Heading3"/>
        <w:spacing w:before="120" w:after="120" w:line="288" w:lineRule="auto"/>
        <w:ind w:firstLine="720"/>
        <w:jc w:val="both"/>
        <w:rPr>
          <w:rFonts w:ascii="Times New Roman" w:hAnsi="Times New Roman"/>
          <w:i/>
        </w:rPr>
      </w:pPr>
      <w:r w:rsidRPr="00F32F9A">
        <w:rPr>
          <w:rFonts w:ascii="Times New Roman" w:hAnsi="Times New Roman"/>
          <w:i/>
        </w:rPr>
        <w:t>6.3. Nội dung kiể</w:t>
      </w:r>
      <w:r>
        <w:rPr>
          <w:rFonts w:ascii="Times New Roman" w:hAnsi="Times New Roman"/>
          <w:i/>
        </w:rPr>
        <w:t>m tra</w:t>
      </w:r>
    </w:p>
    <w:p w14:paraId="50F4CDE1"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Pr>
          <w:rFonts w:ascii="Times New Roman" w:hAnsi="Times New Roman" w:cs="Times New Roman"/>
          <w:sz w:val="28"/>
          <w:szCs w:val="28"/>
        </w:rPr>
        <w:t>K</w:t>
      </w:r>
      <w:r w:rsidRPr="00D601C9">
        <w:rPr>
          <w:rFonts w:ascii="Times New Roman" w:eastAsia="Arial" w:hAnsi="Times New Roman" w:cs="Times New Roman"/>
          <w:spacing w:val="4"/>
          <w:sz w:val="28"/>
          <w:szCs w:val="28"/>
        </w:rPr>
        <w:t>iểm tra việc tính phí</w:t>
      </w:r>
      <w:r w:rsidRPr="00D601C9">
        <w:rPr>
          <w:rFonts w:ascii="Times New Roman" w:hAnsi="Times New Roman" w:cs="Times New Roman"/>
          <w:sz w:val="28"/>
          <w:szCs w:val="28"/>
        </w:rPr>
        <w:t>; kiểm tra hồ sơ tiền gửi để xác định danh sách khách hàng; đánh giá và xác minh giá trị tài sản, sổ sách của ngân hàng; tính toán sơ bộ nghĩa vụ bảo hiểm.</w:t>
      </w:r>
    </w:p>
    <w:p w14:paraId="5A8B06AE" w14:textId="77777777" w:rsidR="004B2F00" w:rsidRPr="00D601C9" w:rsidRDefault="004B2F00" w:rsidP="004E30A9">
      <w:pPr>
        <w:spacing w:before="120" w:after="120" w:line="288" w:lineRule="auto"/>
        <w:ind w:firstLine="720"/>
        <w:jc w:val="both"/>
        <w:rPr>
          <w:rFonts w:ascii="Times New Roman" w:eastAsia="Arial" w:hAnsi="Times New Roman" w:cs="Times New Roman"/>
          <w:sz w:val="28"/>
          <w:szCs w:val="28"/>
        </w:rPr>
      </w:pPr>
      <w:r w:rsidRPr="00D601C9">
        <w:rPr>
          <w:rFonts w:ascii="Times New Roman" w:eastAsia="Arial" w:hAnsi="Times New Roman" w:cs="Times New Roman"/>
          <w:sz w:val="28"/>
          <w:szCs w:val="28"/>
        </w:rPr>
        <w:t xml:space="preserve">Hoạt động kiểm tra đặc biệt (due diligence) được tiến hành với các ngân hàng thuộc diện phục hồi nhằm chuẩn bị cho quá trình xử lý ngân hàng, chi trả và thanh lý. Hoạt động kiểm tra đặc biệt bao gồm kiểm tra về tài chính, pháp lý, tuyển dụng, hệ thống thông tin, đồng thời xác định những khoản mục tài sản và nợ có thể chuyển giao </w:t>
      </w:r>
      <w:r w:rsidRPr="00D601C9">
        <w:rPr>
          <w:rFonts w:ascii="Times New Roman" w:eastAsia="Arial" w:hAnsi="Times New Roman" w:cs="Times New Roman"/>
          <w:sz w:val="28"/>
          <w:szCs w:val="28"/>
        </w:rPr>
        <w:lastRenderedPageBreak/>
        <w:t>cho ngân hàng khác, định giá tài sản và nợ, xác định những chức năng và hoạt động cơ bản của ngân hàng, xác định triển vọng kinh doanh của ngân hàng, phân tích rủi ro, xác định những cáo buộc gian lận.</w:t>
      </w:r>
    </w:p>
    <w:p w14:paraId="228C282A" w14:textId="77777777" w:rsidR="004B2F00" w:rsidRPr="00F32F9A" w:rsidRDefault="004B2F00" w:rsidP="004E30A9">
      <w:pPr>
        <w:pStyle w:val="Heading3"/>
        <w:spacing w:before="120" w:after="120" w:line="288" w:lineRule="auto"/>
        <w:ind w:firstLine="720"/>
        <w:jc w:val="both"/>
        <w:rPr>
          <w:rFonts w:ascii="Times New Roman" w:hAnsi="Times New Roman"/>
          <w:i/>
        </w:rPr>
      </w:pPr>
      <w:r w:rsidRPr="00F32F9A">
        <w:rPr>
          <w:rFonts w:ascii="Times New Roman" w:hAnsi="Times New Roman"/>
          <w:i/>
        </w:rPr>
        <w:t>6.4. Tần suất kiểm tra</w:t>
      </w:r>
    </w:p>
    <w:p w14:paraId="75ED9CC2"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Kiểm tra đột xuất và kiểm tra đặc biệt</w:t>
      </w:r>
    </w:p>
    <w:p w14:paraId="37A3C5F3" w14:textId="77777777" w:rsidR="004B2F00" w:rsidRPr="00F32F9A" w:rsidRDefault="004B2F00" w:rsidP="004E30A9">
      <w:pPr>
        <w:pStyle w:val="Heading3"/>
        <w:spacing w:before="120" w:after="120" w:line="288" w:lineRule="auto"/>
        <w:ind w:firstLine="720"/>
        <w:jc w:val="both"/>
        <w:rPr>
          <w:rFonts w:ascii="Times New Roman" w:hAnsi="Times New Roman"/>
          <w:i/>
        </w:rPr>
      </w:pPr>
      <w:r w:rsidRPr="00F32F9A">
        <w:rPr>
          <w:rFonts w:ascii="Times New Roman" w:hAnsi="Times New Roman"/>
          <w:i/>
        </w:rPr>
        <w:t>6.5. Sự phối hợp và kiểm tra khi ngân hàng có vấn đề</w:t>
      </w:r>
    </w:p>
    <w:p w14:paraId="20EDBE57" w14:textId="77777777" w:rsidR="004B2F00" w:rsidRPr="00D601C9" w:rsidRDefault="004B2F00" w:rsidP="004E30A9">
      <w:pPr>
        <w:spacing w:before="120" w:after="120" w:line="288" w:lineRule="auto"/>
        <w:ind w:firstLine="720"/>
        <w:jc w:val="both"/>
        <w:rPr>
          <w:rFonts w:ascii="Times New Roman" w:hAnsi="Times New Roman" w:cs="Times New Roman"/>
          <w:sz w:val="28"/>
          <w:szCs w:val="28"/>
        </w:rPr>
      </w:pPr>
      <w:r w:rsidRPr="00D601C9">
        <w:rPr>
          <w:rFonts w:ascii="Times New Roman" w:hAnsi="Times New Roman" w:cs="Times New Roman"/>
          <w:sz w:val="28"/>
          <w:szCs w:val="28"/>
        </w:rPr>
        <w:t>Tại Indonesia có Ủy ban ổn định hệ thống tài chính (KSSK) bao gồm Bộ Tài chính, Ngân hàng Indonesia (Ngân hàng Trung ương), OJK và IDIC để phối hợp xử lý các tình huống khủng hoảng. Khi OJK đánh giá một ngân hàng ở tình trạng nguy hiểm (có thể mất khả năng thanh khoản hoặc vốn dưới mức tối thiểu), KSSK sẽ họp để quyết định phương án xử lý. Trong quá trình này, IDIC sẽ tiến hành thẩm định thực tế tại ngân hàng: kiểm tra danh sách tiền gửi khách hàng, tính toán sơ bộ nghĩa vụ bảo hiểm, đồng thời đánh giá tài sản có của ngân hàng. Giai đoạn này tương đương một cuộc “kiểm tra đặc biệt” do IDIC dẫn đầu, với sự hỗ trợ của thanh tra OJK và kiểm toán độc lập nếu cần. Mục tiêu là thu thập đủ thông tin cho IDIC triển khai biện pháp xử lý tối ưu (bán ngân hàng, sáp nhập, hoặc thanh lý tài sản).</w:t>
      </w:r>
    </w:p>
    <w:p w14:paraId="0F259A88" w14:textId="77777777" w:rsidR="00EB6ED7" w:rsidRPr="00ED72CB" w:rsidRDefault="00EB6ED7" w:rsidP="00ED72CB">
      <w:pPr>
        <w:spacing w:before="120" w:after="0" w:line="276" w:lineRule="auto"/>
        <w:ind w:firstLine="567"/>
        <w:jc w:val="both"/>
        <w:rPr>
          <w:rFonts w:ascii="Times New Roman" w:eastAsia="Times New Roman" w:hAnsi="Times New Roman"/>
          <w:b/>
          <w:sz w:val="26"/>
          <w:szCs w:val="26"/>
        </w:rPr>
      </w:pPr>
    </w:p>
    <w:p w14:paraId="437599D8" w14:textId="4DB351F5" w:rsidR="0059424E" w:rsidRPr="00ED72CB" w:rsidRDefault="0059424E" w:rsidP="00AC396D">
      <w:pPr>
        <w:jc w:val="both"/>
        <w:rPr>
          <w:rFonts w:ascii="Times New Roman" w:hAnsi="Times New Roman" w:cs="Times New Roman"/>
          <w:sz w:val="26"/>
          <w:szCs w:val="26"/>
        </w:rPr>
      </w:pPr>
    </w:p>
    <w:sectPr w:rsidR="0059424E" w:rsidRPr="00ED72CB" w:rsidSect="00F20B20">
      <w:headerReference w:type="default" r:id="rId21"/>
      <w:pgSz w:w="11907" w:h="16839" w:code="9"/>
      <w:pgMar w:top="1440" w:right="927"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6C0FB1" w14:textId="77777777" w:rsidR="005135FA" w:rsidRDefault="005135FA" w:rsidP="00C8680F">
      <w:pPr>
        <w:spacing w:after="0" w:line="240" w:lineRule="auto"/>
      </w:pPr>
      <w:r>
        <w:separator/>
      </w:r>
    </w:p>
  </w:endnote>
  <w:endnote w:type="continuationSeparator" w:id="0">
    <w:p w14:paraId="0E95E63F" w14:textId="77777777" w:rsidR="005135FA" w:rsidRDefault="005135FA" w:rsidP="00C868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771039" w14:textId="77777777" w:rsidR="005135FA" w:rsidRDefault="005135FA" w:rsidP="00C8680F">
      <w:pPr>
        <w:spacing w:after="0" w:line="240" w:lineRule="auto"/>
      </w:pPr>
      <w:r>
        <w:separator/>
      </w:r>
    </w:p>
  </w:footnote>
  <w:footnote w:type="continuationSeparator" w:id="0">
    <w:p w14:paraId="6BC505AB" w14:textId="77777777" w:rsidR="005135FA" w:rsidRDefault="005135FA" w:rsidP="00C8680F">
      <w:pPr>
        <w:spacing w:after="0" w:line="240" w:lineRule="auto"/>
      </w:pPr>
      <w:r>
        <w:continuationSeparator/>
      </w:r>
    </w:p>
  </w:footnote>
  <w:footnote w:id="1">
    <w:p w14:paraId="570EEFC1" w14:textId="7176DCCA" w:rsidR="00850509" w:rsidRPr="004E30A9" w:rsidRDefault="00850509">
      <w:pPr>
        <w:pStyle w:val="FootnoteText"/>
        <w:rPr>
          <w:rFonts w:ascii="Times New Roman" w:hAnsi="Times New Roman" w:cs="Times New Roman"/>
          <w:sz w:val="24"/>
          <w:szCs w:val="24"/>
        </w:rPr>
      </w:pPr>
      <w:r w:rsidRPr="004E30A9">
        <w:rPr>
          <w:rStyle w:val="FootnoteReference"/>
          <w:rFonts w:ascii="Times New Roman" w:hAnsi="Times New Roman" w:cs="Times New Roman"/>
          <w:sz w:val="24"/>
          <w:szCs w:val="24"/>
        </w:rPr>
        <w:footnoteRef/>
      </w:r>
      <w:r w:rsidRPr="004E30A9">
        <w:rPr>
          <w:rFonts w:ascii="Times New Roman" w:hAnsi="Times New Roman" w:cs="Times New Roman"/>
          <w:sz w:val="24"/>
          <w:szCs w:val="24"/>
        </w:rPr>
        <w:t xml:space="preserve"> </w:t>
      </w:r>
      <w:r w:rsidRPr="004E30A9">
        <w:rPr>
          <w:rFonts w:ascii="Times New Roman" w:hAnsi="Times New Roman" w:cs="Times New Roman"/>
          <w:i/>
          <w:sz w:val="24"/>
          <w:szCs w:val="24"/>
        </w:rPr>
        <w:t>Tài liệu tổng hợp từ các nguồn tài liệu nghiên cứu và trao đổi, chia sẻ của các tổ chức BHTG các nước. Tài liệu mang tính chất tham khảo.</w:t>
      </w:r>
    </w:p>
  </w:footnote>
  <w:footnote w:id="2">
    <w:p w14:paraId="42307C19" w14:textId="77777777" w:rsidR="00850509" w:rsidRPr="004E30A9" w:rsidRDefault="00850509" w:rsidP="004F3AA2">
      <w:pPr>
        <w:pStyle w:val="FootnoteText"/>
        <w:rPr>
          <w:rFonts w:ascii="Times New Roman" w:hAnsi="Times New Roman" w:cs="Times New Roman"/>
          <w:sz w:val="24"/>
          <w:szCs w:val="24"/>
        </w:rPr>
      </w:pPr>
      <w:r w:rsidRPr="004E30A9">
        <w:rPr>
          <w:rStyle w:val="FootnoteReference"/>
          <w:rFonts w:ascii="Times New Roman" w:hAnsi="Times New Roman" w:cs="Times New Roman"/>
          <w:sz w:val="24"/>
          <w:szCs w:val="24"/>
        </w:rPr>
        <w:footnoteRef/>
      </w:r>
      <w:r w:rsidRPr="004E30A9">
        <w:rPr>
          <w:rFonts w:ascii="Times New Roman" w:hAnsi="Times New Roman" w:cs="Times New Roman"/>
          <w:sz w:val="24"/>
          <w:szCs w:val="24"/>
        </w:rPr>
        <w:t xml:space="preserve"> </w:t>
      </w:r>
      <w:hyperlink r:id="rId1" w:history="1">
        <w:r w:rsidRPr="004E30A9">
          <w:rPr>
            <w:rStyle w:val="Hyperlink"/>
            <w:rFonts w:ascii="Times New Roman" w:hAnsi="Times New Roman" w:cs="Times New Roman"/>
            <w:color w:val="auto"/>
            <w:sz w:val="24"/>
            <w:szCs w:val="24"/>
          </w:rPr>
          <w:t>https://www.iadi.org/uploads/APRC_2011_Funding_paper_final_clean.pdf</w:t>
        </w:r>
      </w:hyperlink>
      <w:r w:rsidRPr="004E30A9">
        <w:rPr>
          <w:rFonts w:ascii="Times New Roman" w:hAnsi="Times New Roman" w:cs="Times New Roman"/>
          <w:sz w:val="24"/>
          <w:szCs w:val="24"/>
        </w:rPr>
        <w:t xml:space="preserve"> </w:t>
      </w:r>
    </w:p>
  </w:footnote>
  <w:footnote w:id="3">
    <w:p w14:paraId="79595362" w14:textId="77777777" w:rsidR="00850509" w:rsidRPr="004E30A9" w:rsidRDefault="00850509">
      <w:pPr>
        <w:pStyle w:val="FootnoteText"/>
        <w:rPr>
          <w:rFonts w:ascii="Times New Roman" w:hAnsi="Times New Roman" w:cs="Times New Roman"/>
          <w:sz w:val="24"/>
          <w:szCs w:val="24"/>
        </w:rPr>
      </w:pPr>
      <w:r w:rsidRPr="004E30A9">
        <w:rPr>
          <w:rStyle w:val="FootnoteReference"/>
          <w:rFonts w:ascii="Times New Roman" w:hAnsi="Times New Roman" w:cs="Times New Roman"/>
          <w:sz w:val="24"/>
          <w:szCs w:val="24"/>
        </w:rPr>
        <w:footnoteRef/>
      </w:r>
      <w:r w:rsidRPr="004E30A9">
        <w:rPr>
          <w:rFonts w:ascii="Times New Roman" w:hAnsi="Times New Roman" w:cs="Times New Roman"/>
          <w:sz w:val="24"/>
          <w:szCs w:val="24"/>
        </w:rPr>
        <w:t xml:space="preserve"> Qua khảo sát 32 thành viên của Hiệp hội bảo hiểm tiền gửi: </w:t>
      </w:r>
      <w:hyperlink r:id="rId2" w:history="1">
        <w:r w:rsidRPr="004E30A9">
          <w:rPr>
            <w:rStyle w:val="Hyperlink"/>
            <w:rFonts w:ascii="Times New Roman" w:hAnsi="Times New Roman" w:cs="Times New Roman"/>
            <w:color w:val="auto"/>
            <w:sz w:val="24"/>
            <w:szCs w:val="24"/>
          </w:rPr>
          <w:t>https://www.bis.org/fsi/publ/insights17.htm</w:t>
        </w:r>
      </w:hyperlink>
      <w:r w:rsidRPr="004E30A9">
        <w:rPr>
          <w:rFonts w:ascii="Times New Roman" w:hAnsi="Times New Roman" w:cs="Times New Roman"/>
          <w:sz w:val="24"/>
          <w:szCs w:val="24"/>
        </w:rPr>
        <w:t xml:space="preserve"> </w:t>
      </w:r>
    </w:p>
  </w:footnote>
  <w:footnote w:id="4">
    <w:p w14:paraId="72E0E184" w14:textId="77777777" w:rsidR="00850509" w:rsidRPr="004E30A9" w:rsidRDefault="00850509" w:rsidP="00DC0073">
      <w:pPr>
        <w:pStyle w:val="FootnoteText"/>
        <w:rPr>
          <w:rFonts w:ascii="Times New Roman" w:hAnsi="Times New Roman" w:cs="Times New Roman"/>
          <w:sz w:val="24"/>
          <w:szCs w:val="24"/>
        </w:rPr>
      </w:pPr>
      <w:r w:rsidRPr="004E30A9">
        <w:rPr>
          <w:rStyle w:val="FootnoteReference"/>
          <w:rFonts w:ascii="Times New Roman" w:hAnsi="Times New Roman" w:cs="Times New Roman"/>
          <w:sz w:val="24"/>
          <w:szCs w:val="24"/>
        </w:rPr>
        <w:footnoteRef/>
      </w:r>
      <w:r w:rsidRPr="004E30A9">
        <w:rPr>
          <w:rFonts w:ascii="Times New Roman" w:hAnsi="Times New Roman" w:cs="Times New Roman"/>
          <w:sz w:val="24"/>
          <w:szCs w:val="24"/>
        </w:rPr>
        <w:t xml:space="preserve"> </w:t>
      </w:r>
      <w:hyperlink r:id="rId3" w:history="1">
        <w:r w:rsidRPr="004E30A9">
          <w:rPr>
            <w:rStyle w:val="Hyperlink"/>
            <w:rFonts w:ascii="Times New Roman" w:hAnsi="Times New Roman" w:cs="Times New Roman"/>
            <w:color w:val="auto"/>
            <w:sz w:val="24"/>
            <w:szCs w:val="24"/>
          </w:rPr>
          <w:t>https://www.iadi.org/uploads/IADI_Annual_Trends_2023.pdf</w:t>
        </w:r>
      </w:hyperlink>
      <w:r w:rsidRPr="004E30A9">
        <w:rPr>
          <w:rFonts w:ascii="Times New Roman" w:hAnsi="Times New Roman" w:cs="Times New Roman"/>
          <w:sz w:val="24"/>
          <w:szCs w:val="24"/>
        </w:rPr>
        <w:t xml:space="preserve"> </w:t>
      </w:r>
    </w:p>
  </w:footnote>
  <w:footnote w:id="5">
    <w:p w14:paraId="69FA710E" w14:textId="77777777" w:rsidR="00850509" w:rsidRPr="004E30A9" w:rsidRDefault="00850509">
      <w:pPr>
        <w:pStyle w:val="FootnoteText"/>
        <w:rPr>
          <w:rFonts w:ascii="Times New Roman" w:hAnsi="Times New Roman" w:cs="Times New Roman"/>
          <w:sz w:val="24"/>
          <w:szCs w:val="24"/>
        </w:rPr>
      </w:pPr>
      <w:r w:rsidRPr="004E30A9">
        <w:rPr>
          <w:rStyle w:val="FootnoteReference"/>
          <w:rFonts w:ascii="Times New Roman" w:hAnsi="Times New Roman" w:cs="Times New Roman"/>
          <w:sz w:val="24"/>
          <w:szCs w:val="24"/>
        </w:rPr>
        <w:footnoteRef/>
      </w:r>
      <w:r w:rsidRPr="004E30A9">
        <w:rPr>
          <w:rFonts w:ascii="Times New Roman" w:hAnsi="Times New Roman" w:cs="Times New Roman"/>
          <w:sz w:val="24"/>
          <w:szCs w:val="24"/>
        </w:rPr>
        <w:t xml:space="preserve"> Có thể sử dụng P&amp;A chia sẻ tổn thất trong trường hợp khi có ít bên mua sẵn sàng thực hiện việc mua nếu pháp luật về BHTG cho phép, ví dụ, do tài sản khó định giá trong điều kiện thị trường hiện hành. BHTG sẽ đồng ý chia sẻ một phần cụ thể của bất kỳ khoản lỗ nào trong tương lai phát sinh trong một khoảng thời gian cụ thể từ các tài sản được đưa vào P&amp;A. Tùy chọn này, yêu cầu BHTG phải có khả năng thiết lập các khoản nợ phải trả có điều kiện, có thể hạn chế số tiền quỹ BHTG cần được cung cấp trước để hỗ trợ P&amp;A, nhưng cũng có khả năng làm tăng chi phí cuối cùng cho quỹ BHTG trong trường hợp tài sản có chất lượng kém hơn dự kiến. FDIC (Mỹ) đã ký kết các thỏa thuận chia sẻ tổn thất trong Khủng hoảng tài chính </w:t>
      </w:r>
    </w:p>
  </w:footnote>
  <w:footnote w:id="6">
    <w:p w14:paraId="71B15E93" w14:textId="77777777" w:rsidR="00850509" w:rsidRPr="004E30A9" w:rsidRDefault="00850509" w:rsidP="00881A4F">
      <w:pPr>
        <w:spacing w:after="0" w:line="240" w:lineRule="auto"/>
        <w:jc w:val="both"/>
        <w:rPr>
          <w:rFonts w:ascii="Times New Roman" w:hAnsi="Times New Roman" w:cs="Times New Roman"/>
          <w:sz w:val="24"/>
          <w:szCs w:val="24"/>
        </w:rPr>
      </w:pPr>
      <w:r w:rsidRPr="004E30A9">
        <w:rPr>
          <w:rStyle w:val="FootnoteReference"/>
          <w:rFonts w:ascii="Times New Roman" w:hAnsi="Times New Roman" w:cs="Times New Roman"/>
          <w:sz w:val="24"/>
          <w:szCs w:val="24"/>
        </w:rPr>
        <w:footnoteRef/>
      </w:r>
      <w:r w:rsidRPr="004E30A9">
        <w:rPr>
          <w:rFonts w:ascii="Times New Roman" w:hAnsi="Times New Roman" w:cs="Times New Roman"/>
          <w:sz w:val="24"/>
          <w:szCs w:val="24"/>
        </w:rPr>
        <w:t xml:space="preserve"> Mô hình hoạt động của tổ chức bảo hiểm tiền gửi có thể được phân loại thành bốn nhóm cơ bản (có thể có sự kết hợp giữa các mô hình):  </w:t>
      </w:r>
    </w:p>
    <w:p w14:paraId="3C86218B" w14:textId="77777777" w:rsidR="00850509" w:rsidRPr="004E30A9" w:rsidRDefault="00850509" w:rsidP="00881A4F">
      <w:pPr>
        <w:spacing w:after="0" w:line="240" w:lineRule="auto"/>
        <w:jc w:val="both"/>
        <w:rPr>
          <w:rFonts w:ascii="Times New Roman" w:hAnsi="Times New Roman" w:cs="Times New Roman"/>
          <w:sz w:val="24"/>
          <w:szCs w:val="24"/>
        </w:rPr>
      </w:pPr>
      <w:r w:rsidRPr="004E30A9">
        <w:rPr>
          <w:rFonts w:ascii="Times New Roman" w:hAnsi="Times New Roman" w:cs="Times New Roman"/>
          <w:sz w:val="24"/>
          <w:szCs w:val="24"/>
        </w:rPr>
        <w:t xml:space="preserve">- Chi trả đơn thuần (pay-box): tổ chức bảo hiểm tiền gửi chỉ chịu trách nhiệm hoàn trả tiền gửi được bảo hiểm.  </w:t>
      </w:r>
    </w:p>
    <w:p w14:paraId="00C199F5" w14:textId="77777777" w:rsidR="00850509" w:rsidRPr="004E30A9" w:rsidRDefault="00850509" w:rsidP="00881A4F">
      <w:pPr>
        <w:spacing w:after="0" w:line="240" w:lineRule="auto"/>
        <w:jc w:val="both"/>
        <w:rPr>
          <w:rFonts w:ascii="Times New Roman" w:hAnsi="Times New Roman" w:cs="Times New Roman"/>
          <w:sz w:val="24"/>
          <w:szCs w:val="24"/>
        </w:rPr>
      </w:pPr>
      <w:r w:rsidRPr="004E30A9">
        <w:rPr>
          <w:rFonts w:ascii="Times New Roman" w:hAnsi="Times New Roman" w:cs="Times New Roman"/>
          <w:sz w:val="24"/>
          <w:szCs w:val="24"/>
        </w:rPr>
        <w:t xml:space="preserve">- Chi trả mở rộng (pay-box plus): ngoài việc hoàn trả tiền gửi được bảo hiểm, tổ chức bảo hiểm tiền gửi còn có thêm các trách nhiệm khác, chẳng hạn như thực hiện một số chức năng xử lý (ví dụ: hỗ trợ tài chính).  </w:t>
      </w:r>
    </w:p>
    <w:p w14:paraId="1E3BF1EC" w14:textId="77777777" w:rsidR="00850509" w:rsidRPr="004E30A9" w:rsidRDefault="00850509" w:rsidP="00881A4F">
      <w:pPr>
        <w:spacing w:after="0" w:line="240" w:lineRule="auto"/>
        <w:jc w:val="both"/>
        <w:rPr>
          <w:rFonts w:ascii="Times New Roman" w:hAnsi="Times New Roman" w:cs="Times New Roman"/>
          <w:sz w:val="24"/>
          <w:szCs w:val="24"/>
        </w:rPr>
      </w:pPr>
      <w:r w:rsidRPr="004E30A9">
        <w:rPr>
          <w:rFonts w:ascii="Times New Roman" w:hAnsi="Times New Roman" w:cs="Times New Roman"/>
          <w:sz w:val="24"/>
          <w:szCs w:val="24"/>
        </w:rPr>
        <w:t xml:space="preserve">- Giảm thiểu tổn thất (loss-minimizer): tổ chức bảo hiểm tham gia tích cực vào việc lựa chọn các chiến lược xử lý với chi phí thấp nhất.  </w:t>
      </w:r>
    </w:p>
    <w:p w14:paraId="7CBC9AC3" w14:textId="77777777" w:rsidR="00850509" w:rsidRPr="004E30A9" w:rsidRDefault="00850509" w:rsidP="00881A4F">
      <w:pPr>
        <w:spacing w:after="0" w:line="240" w:lineRule="auto"/>
        <w:jc w:val="both"/>
        <w:rPr>
          <w:rFonts w:ascii="Times New Roman" w:hAnsi="Times New Roman" w:cs="Times New Roman"/>
          <w:sz w:val="24"/>
          <w:szCs w:val="24"/>
        </w:rPr>
      </w:pPr>
      <w:r w:rsidRPr="004E30A9">
        <w:rPr>
          <w:rFonts w:ascii="Times New Roman" w:hAnsi="Times New Roman" w:cs="Times New Roman"/>
          <w:sz w:val="24"/>
          <w:szCs w:val="24"/>
        </w:rPr>
        <w:t>- Giảm thiểu rủi ro (risk-minimizer): tổ chức bảo hiểm thực hiện đầy đủ các chức năng giảm thiểu rủi ro, bao gồm đánh giá/quản lý rủi ro, can thiệp sớm và xử lý, trong một số trường hợp còn chịu trách nhiệm giám sát an toàn tài chính.</w:t>
      </w:r>
    </w:p>
  </w:footnote>
  <w:footnote w:id="7">
    <w:p w14:paraId="236CB033" w14:textId="77777777" w:rsidR="00850509" w:rsidRPr="004E30A9" w:rsidRDefault="00850509" w:rsidP="00A056CF">
      <w:pPr>
        <w:spacing w:before="120" w:after="120" w:line="288" w:lineRule="auto"/>
        <w:jc w:val="both"/>
        <w:rPr>
          <w:rFonts w:ascii="Times New Roman" w:hAnsi="Times New Roman" w:cs="Times New Roman"/>
          <w:sz w:val="24"/>
          <w:szCs w:val="24"/>
        </w:rPr>
      </w:pPr>
      <w:r w:rsidRPr="004E30A9">
        <w:rPr>
          <w:rStyle w:val="FootnoteReference"/>
          <w:rFonts w:ascii="Times New Roman" w:hAnsi="Times New Roman" w:cs="Times New Roman"/>
          <w:sz w:val="24"/>
          <w:szCs w:val="24"/>
        </w:rPr>
        <w:footnoteRef/>
      </w:r>
      <w:r w:rsidRPr="004E30A9">
        <w:rPr>
          <w:rFonts w:ascii="Times New Roman" w:eastAsia="Times New Roman" w:hAnsi="Times New Roman" w:cs="Times New Roman"/>
          <w:sz w:val="24"/>
          <w:szCs w:val="24"/>
          <w:lang w:eastAsia="vi-VN"/>
        </w:rPr>
        <w:t xml:space="preserve"> </w:t>
      </w:r>
      <w:r w:rsidRPr="004E30A9">
        <w:rPr>
          <w:rFonts w:ascii="Times New Roman" w:hAnsi="Times New Roman" w:cs="Times New Roman"/>
          <w:sz w:val="24"/>
          <w:szCs w:val="24"/>
        </w:rPr>
        <w:t xml:space="preserve">Công ty Xử lý và Thu hồi Nợ (RCC) được thành lập năm 1999, là công ty con thuộc sở hữu hoàn toàn của DICJ. Ngoài nhiệm vụ ban đầu là quản lý, thu hồi và bán tài sản mua lại từ các tổ chức tài chính phá sản, bơm vốn cho các tổ chức tài chính,… Luật Bảo hiểm Tiền gửi sửa đổi năm 2011 đã bổ sung cho RCC các chức năng ngân hàng bắc cầu, mua lại và thu hồi các khoản nợ khó đòi của các tổ chức tài chính. </w:t>
      </w:r>
    </w:p>
    <w:p w14:paraId="1BB046E2" w14:textId="77777777" w:rsidR="00850509" w:rsidRPr="004E30A9" w:rsidRDefault="00850509" w:rsidP="00A056CF">
      <w:pPr>
        <w:pStyle w:val="FootnoteText"/>
        <w:rPr>
          <w:rFonts w:ascii="Times New Roman" w:hAnsi="Times New Roman" w:cs="Times New Roman"/>
          <w:sz w:val="24"/>
          <w:szCs w:val="24"/>
        </w:rPr>
      </w:pPr>
    </w:p>
  </w:footnote>
  <w:footnote w:id="8">
    <w:p w14:paraId="08A8CCB0" w14:textId="77777777" w:rsidR="00850509" w:rsidRPr="004E30A9" w:rsidRDefault="00850509" w:rsidP="00FE425C">
      <w:pPr>
        <w:pStyle w:val="FootnoteText"/>
        <w:jc w:val="both"/>
        <w:rPr>
          <w:rFonts w:ascii="Times New Roman" w:hAnsi="Times New Roman" w:cs="Times New Roman"/>
          <w:sz w:val="24"/>
          <w:szCs w:val="24"/>
          <w:lang w:val="nl-NL"/>
        </w:rPr>
      </w:pPr>
      <w:r w:rsidRPr="004E30A9">
        <w:rPr>
          <w:rStyle w:val="FootnoteReference"/>
          <w:rFonts w:ascii="Times New Roman" w:hAnsi="Times New Roman" w:cs="Times New Roman"/>
          <w:sz w:val="24"/>
          <w:szCs w:val="24"/>
        </w:rPr>
        <w:footnoteRef/>
      </w:r>
      <w:r w:rsidRPr="004E30A9">
        <w:rPr>
          <w:rFonts w:ascii="Times New Roman" w:hAnsi="Times New Roman" w:cs="Times New Roman"/>
          <w:sz w:val="24"/>
          <w:szCs w:val="24"/>
          <w:lang w:val="nl-NL"/>
        </w:rPr>
        <w:t xml:space="preserve"> FSA, Hướng dẫn toàn diện về giám sát các ngân hàng lớn, tháng 6/2022.</w:t>
      </w:r>
    </w:p>
  </w:footnote>
  <w:footnote w:id="9">
    <w:p w14:paraId="4EC12765" w14:textId="77777777" w:rsidR="00850509" w:rsidRPr="004E30A9" w:rsidRDefault="00850509" w:rsidP="00FE425C">
      <w:pPr>
        <w:pStyle w:val="FootnoteText"/>
        <w:jc w:val="both"/>
        <w:rPr>
          <w:rFonts w:ascii="Times New Roman" w:hAnsi="Times New Roman" w:cs="Times New Roman"/>
          <w:sz w:val="24"/>
          <w:szCs w:val="24"/>
          <w:lang w:val="nl-NL"/>
        </w:rPr>
      </w:pPr>
      <w:r w:rsidRPr="004E30A9">
        <w:rPr>
          <w:rStyle w:val="FootnoteReference"/>
          <w:rFonts w:ascii="Times New Roman" w:hAnsi="Times New Roman" w:cs="Times New Roman"/>
          <w:sz w:val="24"/>
          <w:szCs w:val="24"/>
        </w:rPr>
        <w:footnoteRef/>
      </w:r>
      <w:r w:rsidRPr="004E30A9">
        <w:rPr>
          <w:rFonts w:ascii="Times New Roman" w:hAnsi="Times New Roman" w:cs="Times New Roman"/>
          <w:sz w:val="24"/>
          <w:szCs w:val="24"/>
          <w:lang w:val="nl-NL"/>
        </w:rPr>
        <w:t xml:space="preserve"> FSA, Hướng dẫn toàn diện về giám sát các ngân hàng lớn, tháng 6/2022.</w:t>
      </w:r>
    </w:p>
  </w:footnote>
  <w:footnote w:id="10">
    <w:p w14:paraId="63113504" w14:textId="77777777" w:rsidR="00850509" w:rsidRPr="004E30A9" w:rsidRDefault="00850509" w:rsidP="00FE425C">
      <w:pPr>
        <w:pStyle w:val="FootnoteText"/>
        <w:jc w:val="both"/>
        <w:rPr>
          <w:rFonts w:ascii="Times New Roman" w:hAnsi="Times New Roman" w:cs="Times New Roman"/>
          <w:sz w:val="24"/>
          <w:szCs w:val="24"/>
          <w:lang w:val="nl-NL"/>
        </w:rPr>
      </w:pPr>
      <w:r w:rsidRPr="004E30A9">
        <w:rPr>
          <w:rStyle w:val="FootnoteReference"/>
          <w:rFonts w:ascii="Times New Roman" w:hAnsi="Times New Roman" w:cs="Times New Roman"/>
          <w:sz w:val="24"/>
          <w:szCs w:val="24"/>
        </w:rPr>
        <w:footnoteRef/>
      </w:r>
      <w:r w:rsidRPr="004E30A9">
        <w:rPr>
          <w:rFonts w:ascii="Times New Roman" w:hAnsi="Times New Roman" w:cs="Times New Roman"/>
          <w:sz w:val="24"/>
          <w:szCs w:val="24"/>
          <w:lang w:val="nl-NL"/>
        </w:rPr>
        <w:t xml:space="preserve"> Ngân hàng Thanh toán Quốc tế (FSI), Nghiên cứu của FSI về thực thi chính sách số 32, Các cơ chế thể chế xử lý ngân hàng, tháng 5/2021.</w:t>
      </w:r>
    </w:p>
  </w:footnote>
  <w:footnote w:id="11">
    <w:p w14:paraId="262BC6CD" w14:textId="77777777" w:rsidR="00850509" w:rsidRPr="004E30A9" w:rsidRDefault="00850509" w:rsidP="00FE425C">
      <w:pPr>
        <w:tabs>
          <w:tab w:val="left" w:pos="360"/>
        </w:tabs>
        <w:spacing w:after="0" w:line="240" w:lineRule="auto"/>
        <w:jc w:val="both"/>
        <w:rPr>
          <w:rFonts w:ascii="Times New Roman" w:hAnsi="Times New Roman" w:cs="Times New Roman"/>
          <w:sz w:val="24"/>
          <w:szCs w:val="24"/>
          <w:lang w:val="nl-NL" w:eastAsia="ja-JP"/>
        </w:rPr>
      </w:pPr>
      <w:r w:rsidRPr="004E30A9">
        <w:rPr>
          <w:rStyle w:val="FootnoteReference"/>
          <w:rFonts w:ascii="Times New Roman" w:hAnsi="Times New Roman" w:cs="Times New Roman"/>
          <w:sz w:val="24"/>
          <w:szCs w:val="24"/>
        </w:rPr>
        <w:footnoteRef/>
      </w:r>
      <w:r w:rsidRPr="004E30A9">
        <w:rPr>
          <w:rFonts w:ascii="Times New Roman" w:hAnsi="Times New Roman" w:cs="Times New Roman"/>
          <w:sz w:val="24"/>
          <w:szCs w:val="24"/>
          <w:lang w:val="nl-NL"/>
        </w:rPr>
        <w:t xml:space="preserve"> </w:t>
      </w:r>
      <w:r w:rsidRPr="004E30A9">
        <w:rPr>
          <w:rFonts w:ascii="Times New Roman" w:hAnsi="Times New Roman" w:cs="Times New Roman"/>
          <w:sz w:val="24"/>
          <w:szCs w:val="24"/>
          <w:lang w:val="nl-NL" w:eastAsia="ja-JP"/>
        </w:rPr>
        <w:t>Thuật ngữ "sáp nhập" nêu tại Khoản trên được hiểu như sau:</w:t>
      </w:r>
    </w:p>
    <w:p w14:paraId="787672F9" w14:textId="77777777" w:rsidR="00850509" w:rsidRPr="004E30A9" w:rsidRDefault="00850509" w:rsidP="00FE425C">
      <w:pPr>
        <w:tabs>
          <w:tab w:val="left" w:pos="360"/>
        </w:tabs>
        <w:spacing w:after="0" w:line="240" w:lineRule="auto"/>
        <w:jc w:val="both"/>
        <w:rPr>
          <w:rFonts w:ascii="Times New Roman" w:hAnsi="Times New Roman" w:cs="Times New Roman"/>
          <w:sz w:val="24"/>
          <w:szCs w:val="24"/>
          <w:lang w:val="nl-NL" w:eastAsia="ja-JP"/>
        </w:rPr>
      </w:pPr>
      <w:r w:rsidRPr="004E30A9">
        <w:rPr>
          <w:rFonts w:ascii="Times New Roman" w:hAnsi="Times New Roman" w:cs="Times New Roman"/>
          <w:sz w:val="24"/>
          <w:szCs w:val="24"/>
          <w:lang w:val="nl-NL" w:eastAsia="ja-JP"/>
        </w:rPr>
        <w:t>(i)</w:t>
      </w:r>
      <w:r w:rsidRPr="004E30A9">
        <w:rPr>
          <w:rFonts w:ascii="Times New Roman" w:hAnsi="Times New Roman" w:cs="Times New Roman"/>
          <w:sz w:val="24"/>
          <w:szCs w:val="24"/>
          <w:lang w:val="nl-NL" w:eastAsia="ja-JP"/>
        </w:rPr>
        <w:tab/>
        <w:t>Sáp nhập trong đó TCTC đã hợp nhất với TCTC bị đổ vỡ vẫn tiếp tục hoạt động;</w:t>
      </w:r>
    </w:p>
    <w:p w14:paraId="7325A5C0" w14:textId="77777777" w:rsidR="00850509" w:rsidRPr="004E30A9" w:rsidRDefault="00850509" w:rsidP="00FE425C">
      <w:pPr>
        <w:tabs>
          <w:tab w:val="left" w:pos="360"/>
        </w:tabs>
        <w:spacing w:after="0" w:line="240" w:lineRule="auto"/>
        <w:jc w:val="both"/>
        <w:rPr>
          <w:rFonts w:ascii="Times New Roman" w:hAnsi="Times New Roman" w:cs="Times New Roman"/>
          <w:i/>
          <w:iCs/>
          <w:sz w:val="24"/>
          <w:szCs w:val="24"/>
          <w:lang w:val="nl-NL" w:eastAsia="ja-JP"/>
        </w:rPr>
      </w:pPr>
      <w:r w:rsidRPr="004E30A9">
        <w:rPr>
          <w:rFonts w:ascii="Times New Roman" w:hAnsi="Times New Roman" w:cs="Times New Roman"/>
          <w:sz w:val="24"/>
          <w:szCs w:val="24"/>
          <w:lang w:val="nl-NL" w:eastAsia="ja-JP"/>
        </w:rPr>
        <w:t>(ii)</w:t>
      </w:r>
      <w:r w:rsidRPr="004E30A9">
        <w:rPr>
          <w:rFonts w:ascii="Times New Roman" w:hAnsi="Times New Roman" w:cs="Times New Roman"/>
          <w:sz w:val="24"/>
          <w:szCs w:val="24"/>
          <w:lang w:val="nl-NL" w:eastAsia="ja-JP"/>
        </w:rPr>
        <w:tab/>
        <w:t>Sáp nhập trong đó TCTC bị đổ vỡ hợp nhất với TCTC khác để thành lập TCTC mới.</w:t>
      </w:r>
    </w:p>
  </w:footnote>
  <w:footnote w:id="12">
    <w:p w14:paraId="0654BB27" w14:textId="77777777" w:rsidR="00850509" w:rsidRPr="004E30A9" w:rsidRDefault="00850509" w:rsidP="00FE425C">
      <w:pPr>
        <w:pStyle w:val="ListParagraph"/>
        <w:tabs>
          <w:tab w:val="left" w:pos="284"/>
        </w:tabs>
        <w:spacing w:after="120" w:line="276" w:lineRule="auto"/>
        <w:ind w:left="0"/>
        <w:contextualSpacing w:val="0"/>
        <w:jc w:val="both"/>
        <w:rPr>
          <w:rFonts w:ascii="Times New Roman" w:hAnsi="Times New Roman" w:cs="Times New Roman"/>
          <w:sz w:val="24"/>
          <w:szCs w:val="24"/>
        </w:rPr>
      </w:pPr>
      <w:r w:rsidRPr="004E30A9">
        <w:rPr>
          <w:rStyle w:val="FootnoteReference"/>
          <w:rFonts w:ascii="Times New Roman" w:hAnsi="Times New Roman" w:cs="Times New Roman"/>
          <w:sz w:val="24"/>
          <w:szCs w:val="24"/>
        </w:rPr>
        <w:footnoteRef/>
      </w:r>
      <w:r w:rsidRPr="004E30A9">
        <w:rPr>
          <w:rFonts w:ascii="Times New Roman" w:hAnsi="Times New Roman" w:cs="Times New Roman"/>
          <w:sz w:val="24"/>
          <w:szCs w:val="24"/>
        </w:rPr>
        <w:t xml:space="preserve"> Áp dụng với tất cả các tổ chức tài chính (ngân hàng, ngân hàng đầu tư, công ty bảo hiểm, v.v)</w:t>
      </w:r>
    </w:p>
  </w:footnote>
  <w:footnote w:id="13">
    <w:p w14:paraId="45D76DF9" w14:textId="77777777" w:rsidR="00850509" w:rsidRPr="004E30A9" w:rsidRDefault="00850509" w:rsidP="00AC396D">
      <w:pPr>
        <w:pStyle w:val="FootnoteText"/>
        <w:jc w:val="both"/>
        <w:rPr>
          <w:rFonts w:ascii="Times New Roman" w:hAnsi="Times New Roman" w:cs="Times New Roman"/>
          <w:i/>
          <w:iCs/>
          <w:sz w:val="24"/>
          <w:szCs w:val="24"/>
        </w:rPr>
      </w:pPr>
      <w:r w:rsidRPr="004E30A9">
        <w:rPr>
          <w:rStyle w:val="FootnoteReference"/>
          <w:rFonts w:ascii="Times New Roman" w:hAnsi="Times New Roman" w:cs="Times New Roman"/>
          <w:i/>
          <w:iCs/>
          <w:sz w:val="24"/>
          <w:szCs w:val="24"/>
        </w:rPr>
        <w:footnoteRef/>
      </w:r>
      <w:r w:rsidRPr="004E30A9">
        <w:rPr>
          <w:rFonts w:ascii="Times New Roman" w:hAnsi="Times New Roman" w:cs="Times New Roman"/>
          <w:i/>
          <w:iCs/>
          <w:sz w:val="24"/>
          <w:szCs w:val="24"/>
        </w:rPr>
        <w:t xml:space="preserve"> Martin J. G., FDIC (2019). An Underappreciated Risk: The Resolution of Large Regional Banks in the United States</w:t>
      </w:r>
    </w:p>
  </w:footnote>
  <w:footnote w:id="14">
    <w:p w14:paraId="444656B8" w14:textId="77777777" w:rsidR="00850509" w:rsidRPr="004E30A9" w:rsidRDefault="00850509" w:rsidP="000216BB">
      <w:pPr>
        <w:pStyle w:val="FootnoteText"/>
        <w:jc w:val="both"/>
        <w:rPr>
          <w:rFonts w:ascii="Times New Roman" w:hAnsi="Times New Roman" w:cs="Times New Roman"/>
          <w:i/>
          <w:iCs/>
          <w:sz w:val="24"/>
          <w:szCs w:val="24"/>
        </w:rPr>
      </w:pPr>
      <w:r w:rsidRPr="004E30A9">
        <w:rPr>
          <w:rStyle w:val="FootnoteReference"/>
          <w:rFonts w:ascii="Times New Roman" w:hAnsi="Times New Roman" w:cs="Times New Roman"/>
          <w:i/>
          <w:iCs/>
          <w:sz w:val="24"/>
          <w:szCs w:val="24"/>
        </w:rPr>
        <w:footnoteRef/>
      </w:r>
      <w:r w:rsidRPr="004E30A9">
        <w:rPr>
          <w:rFonts w:ascii="Times New Roman" w:hAnsi="Times New Roman" w:cs="Times New Roman"/>
          <w:i/>
          <w:iCs/>
          <w:sz w:val="24"/>
          <w:szCs w:val="24"/>
        </w:rPr>
        <w:t xml:space="preserve"> Khi FDIC nhận thấy việc tự chỉ định là cần thiết để giảm thiểu tổn thất hoặc nguy cơ có tổn thất đối với quỹ BHTG và có bằng chứng rõ ràng để chỉ định. Dù vậy, FDIC vẫn phải tham vấn các cơ quan cấp bang và liên bang khác liên quan. Đồng thời, bản thân tổ chức tín dụng bị tiếp nhận sẽ có 30 ngày để phản đối quyết định này của FDIC tại tòa án.</w:t>
      </w:r>
    </w:p>
  </w:footnote>
  <w:footnote w:id="15">
    <w:p w14:paraId="0D412ADB" w14:textId="1815DB6B" w:rsidR="00850509" w:rsidRPr="004E30A9" w:rsidRDefault="00850509" w:rsidP="000216BB">
      <w:pPr>
        <w:tabs>
          <w:tab w:val="left" w:pos="540"/>
        </w:tabs>
        <w:spacing w:after="120" w:line="264" w:lineRule="auto"/>
        <w:rPr>
          <w:rFonts w:ascii="Times New Roman" w:eastAsia="Arial" w:hAnsi="Times New Roman" w:cs="Times New Roman"/>
          <w:i/>
          <w:iCs/>
          <w:sz w:val="24"/>
          <w:szCs w:val="24"/>
        </w:rPr>
      </w:pPr>
      <w:r w:rsidRPr="004E30A9">
        <w:rPr>
          <w:rStyle w:val="FootnoteReference"/>
          <w:rFonts w:ascii="Times New Roman" w:hAnsi="Times New Roman" w:cs="Times New Roman"/>
          <w:sz w:val="24"/>
          <w:szCs w:val="24"/>
        </w:rPr>
        <w:footnoteRef/>
      </w:r>
      <w:r w:rsidRPr="004E30A9">
        <w:rPr>
          <w:rFonts w:ascii="Times New Roman" w:hAnsi="Times New Roman" w:cs="Times New Roman"/>
          <w:sz w:val="24"/>
          <w:szCs w:val="24"/>
        </w:rPr>
        <w:t xml:space="preserve"> </w:t>
      </w:r>
      <w:r w:rsidRPr="004E30A9">
        <w:rPr>
          <w:rFonts w:ascii="Times New Roman" w:eastAsia="Arial" w:hAnsi="Times New Roman" w:cs="Times New Roman"/>
          <w:i/>
          <w:iCs/>
          <w:sz w:val="24"/>
          <w:szCs w:val="24"/>
        </w:rPr>
        <w:t>Tài liệu nghiên cứu P&amp;A năm 2019 của IADI</w:t>
      </w:r>
    </w:p>
    <w:p w14:paraId="6546AD0F" w14:textId="780FB289" w:rsidR="00850509" w:rsidRPr="004E30A9" w:rsidRDefault="00850509">
      <w:pPr>
        <w:pStyle w:val="FootnoteText"/>
        <w:rPr>
          <w:rFonts w:ascii="Times New Roman" w:hAnsi="Times New Roman" w:cs="Times New Roman"/>
          <w:sz w:val="24"/>
          <w:szCs w:val="24"/>
        </w:rPr>
      </w:pPr>
    </w:p>
  </w:footnote>
  <w:footnote w:id="16">
    <w:p w14:paraId="6C4BD8ED" w14:textId="77777777" w:rsidR="00850509" w:rsidRPr="004E30A9" w:rsidRDefault="00850509" w:rsidP="00EB6ED7">
      <w:pPr>
        <w:pStyle w:val="FootnoteText"/>
        <w:rPr>
          <w:rFonts w:ascii="Times New Roman" w:hAnsi="Times New Roman" w:cs="Times New Roman"/>
          <w:sz w:val="24"/>
          <w:szCs w:val="24"/>
        </w:rPr>
      </w:pPr>
      <w:r w:rsidRPr="004E30A9">
        <w:rPr>
          <w:rStyle w:val="FootnoteReference"/>
          <w:rFonts w:ascii="Times New Roman" w:hAnsi="Times New Roman" w:cs="Times New Roman"/>
          <w:sz w:val="24"/>
          <w:szCs w:val="24"/>
        </w:rPr>
        <w:footnoteRef/>
      </w:r>
      <w:r w:rsidRPr="004E30A9">
        <w:rPr>
          <w:rFonts w:ascii="Times New Roman" w:hAnsi="Times New Roman" w:cs="Times New Roman"/>
          <w:sz w:val="24"/>
          <w:szCs w:val="24"/>
        </w:rPr>
        <w:t xml:space="preserve"> IMF (2018). Resolution Funding: Who pays when Financial Institutions Fail</w:t>
      </w:r>
    </w:p>
  </w:footnote>
  <w:footnote w:id="17">
    <w:p w14:paraId="223A6917" w14:textId="77777777" w:rsidR="00850509" w:rsidRPr="00CF2366" w:rsidRDefault="00850509" w:rsidP="00EB6ED7">
      <w:pPr>
        <w:pStyle w:val="FootnoteText"/>
        <w:jc w:val="both"/>
        <w:rPr>
          <w:rFonts w:ascii="Times New Roman" w:hAnsi="Times New Roman" w:cs="Times New Roman"/>
          <w:sz w:val="24"/>
          <w:szCs w:val="24"/>
        </w:rPr>
      </w:pPr>
      <w:r w:rsidRPr="00CF2366">
        <w:rPr>
          <w:rStyle w:val="FootnoteReference"/>
          <w:rFonts w:ascii="Times New Roman" w:hAnsi="Times New Roman" w:cs="Times New Roman"/>
          <w:sz w:val="24"/>
          <w:szCs w:val="24"/>
        </w:rPr>
        <w:footnoteRef/>
      </w:r>
      <w:r w:rsidRPr="00CF2366">
        <w:rPr>
          <w:rFonts w:ascii="Times New Roman" w:hAnsi="Times New Roman" w:cs="Times New Roman"/>
          <w:sz w:val="24"/>
          <w:szCs w:val="24"/>
        </w:rPr>
        <w:t xml:space="preserve"> Khoản đóng góp(contributions) đối với trường hợp biện pháp ngăn ngừa khủng hoảng tài chính được áp dụng, trong khi đó Khoản đóng góp cụ thể đối với trường hợp biện pháp xử lý theo trật tự được áp dụng. </w:t>
      </w:r>
    </w:p>
  </w:footnote>
  <w:footnote w:id="18">
    <w:p w14:paraId="35DE5DB7" w14:textId="77777777" w:rsidR="00850509" w:rsidRPr="00CF2366" w:rsidRDefault="00850509" w:rsidP="00EB6ED7">
      <w:pPr>
        <w:pStyle w:val="FootnoteText"/>
        <w:jc w:val="both"/>
        <w:rPr>
          <w:rFonts w:ascii="Times New Roman" w:hAnsi="Times New Roman" w:cs="Times New Roman"/>
          <w:sz w:val="24"/>
          <w:szCs w:val="24"/>
        </w:rPr>
      </w:pPr>
      <w:r w:rsidRPr="00CF2366">
        <w:rPr>
          <w:rStyle w:val="FootnoteReference"/>
          <w:rFonts w:ascii="Times New Roman" w:hAnsi="Times New Roman" w:cs="Times New Roman"/>
          <w:sz w:val="24"/>
          <w:szCs w:val="24"/>
        </w:rPr>
        <w:footnoteRef/>
      </w:r>
      <w:r w:rsidRPr="00CF2366">
        <w:rPr>
          <w:rFonts w:ascii="Times New Roman" w:hAnsi="Times New Roman" w:cs="Times New Roman"/>
          <w:sz w:val="24"/>
          <w:szCs w:val="24"/>
        </w:rPr>
        <w:t xml:space="preserve"> Theo Điều 40-2 Luật BHTG, DICJ phải duy trì các tài khoản kế toán riêng biệt cho từng hoạt động. Theo đó, Quỹ BHTG được chia thành các tài khoản sau: (i) Tài khoản chung: dùng để thực hiện các hoạt động bảo hiểm tiền gửi thông thường, bao gồm chi trả tiền bảo hiểm, thu phí bảo hiểm tiền gửi và hỗ trợ tài chính cho các tổ chức tài chính bị phá sản; (ii) Tài khoản quản lý khủng hoảng (Crisis Management Account): dành cho hỗ trợ tài chính đặc biệt và các biện pháp khẩn cấp trong trường hợp khủng hoảng tài chính nghiêm trọng, được hình thành thông qua đóng góp từ các tổ chức tài chính và có thể nhận trợ cấp từ chính phủ nếu cần thiết; và (iii) các tài khoản khác.</w:t>
      </w:r>
    </w:p>
  </w:footnote>
  <w:footnote w:id="19">
    <w:p w14:paraId="5BABD8E2" w14:textId="77777777" w:rsidR="00850509" w:rsidRPr="00525BC2" w:rsidRDefault="00850509" w:rsidP="004B2F00">
      <w:pPr>
        <w:pStyle w:val="FootnoteText"/>
        <w:rPr>
          <w:rFonts w:ascii="Times New Roman" w:hAnsi="Times New Roman" w:cs="Times New Roman"/>
        </w:rPr>
      </w:pPr>
      <w:r w:rsidRPr="00525BC2">
        <w:rPr>
          <w:rStyle w:val="FootnoteReference"/>
          <w:rFonts w:ascii="Times New Roman" w:hAnsi="Times New Roman" w:cs="Times New Roman"/>
        </w:rPr>
        <w:footnoteRef/>
      </w:r>
      <w:r w:rsidRPr="00525BC2">
        <w:rPr>
          <w:rFonts w:ascii="Times New Roman" w:hAnsi="Times New Roman" w:cs="Times New Roman"/>
        </w:rPr>
        <w:t xml:space="preserve"> https://www.bdo.co.id/en-gb/insights/omnibus-law-for-financial-sector-(part-2)-%E2%80%93-law-on-indonesia-deposit-insurance-corporation#:~:text=,may%20submit%20an%20objection%20to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9525358"/>
      <w:docPartObj>
        <w:docPartGallery w:val="Page Numbers (Top of Page)"/>
        <w:docPartUnique/>
      </w:docPartObj>
    </w:sdtPr>
    <w:sdtEndPr>
      <w:rPr>
        <w:rFonts w:ascii="Times New Roman" w:hAnsi="Times New Roman" w:cs="Times New Roman"/>
        <w:noProof/>
        <w:sz w:val="24"/>
        <w:szCs w:val="24"/>
      </w:rPr>
    </w:sdtEndPr>
    <w:sdtContent>
      <w:p w14:paraId="5F5DE91E" w14:textId="1171FFE3" w:rsidR="00850509" w:rsidRPr="004E30A9" w:rsidRDefault="00850509">
        <w:pPr>
          <w:pStyle w:val="Header"/>
          <w:jc w:val="center"/>
          <w:rPr>
            <w:rFonts w:ascii="Times New Roman" w:hAnsi="Times New Roman" w:cs="Times New Roman"/>
            <w:sz w:val="24"/>
            <w:szCs w:val="24"/>
          </w:rPr>
        </w:pPr>
        <w:r w:rsidRPr="004E30A9">
          <w:rPr>
            <w:rFonts w:ascii="Times New Roman" w:hAnsi="Times New Roman" w:cs="Times New Roman"/>
            <w:sz w:val="24"/>
            <w:szCs w:val="24"/>
          </w:rPr>
          <w:fldChar w:fldCharType="begin"/>
        </w:r>
        <w:r w:rsidRPr="004E30A9">
          <w:rPr>
            <w:rFonts w:ascii="Times New Roman" w:hAnsi="Times New Roman" w:cs="Times New Roman"/>
            <w:sz w:val="24"/>
            <w:szCs w:val="24"/>
          </w:rPr>
          <w:instrText xml:space="preserve"> PAGE   \* MERGEFORMAT </w:instrText>
        </w:r>
        <w:r w:rsidRPr="004E30A9">
          <w:rPr>
            <w:rFonts w:ascii="Times New Roman" w:hAnsi="Times New Roman" w:cs="Times New Roman"/>
            <w:sz w:val="24"/>
            <w:szCs w:val="24"/>
          </w:rPr>
          <w:fldChar w:fldCharType="separate"/>
        </w:r>
        <w:r w:rsidR="005D164C">
          <w:rPr>
            <w:rFonts w:ascii="Times New Roman" w:hAnsi="Times New Roman" w:cs="Times New Roman"/>
            <w:noProof/>
            <w:sz w:val="24"/>
            <w:szCs w:val="24"/>
          </w:rPr>
          <w:t>21</w:t>
        </w:r>
        <w:r w:rsidRPr="004E30A9">
          <w:rPr>
            <w:rFonts w:ascii="Times New Roman" w:hAnsi="Times New Roman" w:cs="Times New Roman"/>
            <w:noProof/>
            <w:sz w:val="24"/>
            <w:szCs w:val="24"/>
          </w:rPr>
          <w:fldChar w:fldCharType="end"/>
        </w:r>
      </w:p>
    </w:sdtContent>
  </w:sdt>
  <w:p w14:paraId="5F6D7C62" w14:textId="77777777" w:rsidR="00850509" w:rsidRDefault="0085050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8481B2C"/>
    <w:multiLevelType w:val="hybridMultilevel"/>
    <w:tmpl w:val="6A4C6E80"/>
    <w:lvl w:ilvl="0" w:tplc="93C6BBD4">
      <w:start w:val="3"/>
      <w:numFmt w:val="bullet"/>
      <w:lvlText w:val="-"/>
      <w:lvlJc w:val="left"/>
      <w:pPr>
        <w:ind w:left="1069" w:hanging="360"/>
      </w:pPr>
      <w:rPr>
        <w:rFonts w:ascii="Times New Roman" w:eastAsia="Arial"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nsid w:val="40F83E5E"/>
    <w:multiLevelType w:val="hybridMultilevel"/>
    <w:tmpl w:val="DEE0FB90"/>
    <w:lvl w:ilvl="0" w:tplc="5A3AB69C">
      <w:start w:val="1"/>
      <w:numFmt w:val="bullet"/>
      <w:lvlText w:val="•"/>
      <w:lvlJc w:val="left"/>
      <w:pPr>
        <w:tabs>
          <w:tab w:val="num" w:pos="720"/>
        </w:tabs>
        <w:ind w:left="720" w:hanging="360"/>
      </w:pPr>
      <w:rPr>
        <w:rFonts w:ascii="Arial" w:hAnsi="Arial" w:hint="default"/>
      </w:rPr>
    </w:lvl>
    <w:lvl w:ilvl="1" w:tplc="FB1C08D4" w:tentative="1">
      <w:start w:val="1"/>
      <w:numFmt w:val="bullet"/>
      <w:lvlText w:val="•"/>
      <w:lvlJc w:val="left"/>
      <w:pPr>
        <w:tabs>
          <w:tab w:val="num" w:pos="1440"/>
        </w:tabs>
        <w:ind w:left="1440" w:hanging="360"/>
      </w:pPr>
      <w:rPr>
        <w:rFonts w:ascii="Arial" w:hAnsi="Arial" w:hint="default"/>
      </w:rPr>
    </w:lvl>
    <w:lvl w:ilvl="2" w:tplc="0D20C092">
      <w:start w:val="1"/>
      <w:numFmt w:val="bullet"/>
      <w:lvlText w:val="•"/>
      <w:lvlJc w:val="left"/>
      <w:pPr>
        <w:tabs>
          <w:tab w:val="num" w:pos="2160"/>
        </w:tabs>
        <w:ind w:left="2160" w:hanging="360"/>
      </w:pPr>
      <w:rPr>
        <w:rFonts w:ascii="Arial" w:hAnsi="Arial" w:hint="default"/>
      </w:rPr>
    </w:lvl>
    <w:lvl w:ilvl="3" w:tplc="280A6D90" w:tentative="1">
      <w:start w:val="1"/>
      <w:numFmt w:val="bullet"/>
      <w:lvlText w:val="•"/>
      <w:lvlJc w:val="left"/>
      <w:pPr>
        <w:tabs>
          <w:tab w:val="num" w:pos="2880"/>
        </w:tabs>
        <w:ind w:left="2880" w:hanging="360"/>
      </w:pPr>
      <w:rPr>
        <w:rFonts w:ascii="Arial" w:hAnsi="Arial" w:hint="default"/>
      </w:rPr>
    </w:lvl>
    <w:lvl w:ilvl="4" w:tplc="A508B778" w:tentative="1">
      <w:start w:val="1"/>
      <w:numFmt w:val="bullet"/>
      <w:lvlText w:val="•"/>
      <w:lvlJc w:val="left"/>
      <w:pPr>
        <w:tabs>
          <w:tab w:val="num" w:pos="3600"/>
        </w:tabs>
        <w:ind w:left="3600" w:hanging="360"/>
      </w:pPr>
      <w:rPr>
        <w:rFonts w:ascii="Arial" w:hAnsi="Arial" w:hint="default"/>
      </w:rPr>
    </w:lvl>
    <w:lvl w:ilvl="5" w:tplc="2968054E" w:tentative="1">
      <w:start w:val="1"/>
      <w:numFmt w:val="bullet"/>
      <w:lvlText w:val="•"/>
      <w:lvlJc w:val="left"/>
      <w:pPr>
        <w:tabs>
          <w:tab w:val="num" w:pos="4320"/>
        </w:tabs>
        <w:ind w:left="4320" w:hanging="360"/>
      </w:pPr>
      <w:rPr>
        <w:rFonts w:ascii="Arial" w:hAnsi="Arial" w:hint="default"/>
      </w:rPr>
    </w:lvl>
    <w:lvl w:ilvl="6" w:tplc="C2FA903C" w:tentative="1">
      <w:start w:val="1"/>
      <w:numFmt w:val="bullet"/>
      <w:lvlText w:val="•"/>
      <w:lvlJc w:val="left"/>
      <w:pPr>
        <w:tabs>
          <w:tab w:val="num" w:pos="5040"/>
        </w:tabs>
        <w:ind w:left="5040" w:hanging="360"/>
      </w:pPr>
      <w:rPr>
        <w:rFonts w:ascii="Arial" w:hAnsi="Arial" w:hint="default"/>
      </w:rPr>
    </w:lvl>
    <w:lvl w:ilvl="7" w:tplc="DFDA3818" w:tentative="1">
      <w:start w:val="1"/>
      <w:numFmt w:val="bullet"/>
      <w:lvlText w:val="•"/>
      <w:lvlJc w:val="left"/>
      <w:pPr>
        <w:tabs>
          <w:tab w:val="num" w:pos="5760"/>
        </w:tabs>
        <w:ind w:left="5760" w:hanging="360"/>
      </w:pPr>
      <w:rPr>
        <w:rFonts w:ascii="Arial" w:hAnsi="Arial" w:hint="default"/>
      </w:rPr>
    </w:lvl>
    <w:lvl w:ilvl="8" w:tplc="44944B1C" w:tentative="1">
      <w:start w:val="1"/>
      <w:numFmt w:val="bullet"/>
      <w:lvlText w:val="•"/>
      <w:lvlJc w:val="left"/>
      <w:pPr>
        <w:tabs>
          <w:tab w:val="num" w:pos="6480"/>
        </w:tabs>
        <w:ind w:left="6480" w:hanging="360"/>
      </w:pPr>
      <w:rPr>
        <w:rFonts w:ascii="Arial" w:hAnsi="Arial" w:hint="default"/>
      </w:rPr>
    </w:lvl>
  </w:abstractNum>
  <w:abstractNum w:abstractNumId="2">
    <w:nsid w:val="4FDB3EC6"/>
    <w:multiLevelType w:val="hybridMultilevel"/>
    <w:tmpl w:val="64C8DDA2"/>
    <w:lvl w:ilvl="0" w:tplc="F6B28DCC">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3">
    <w:nsid w:val="6DCD109F"/>
    <w:multiLevelType w:val="hybridMultilevel"/>
    <w:tmpl w:val="FD4E35EA"/>
    <w:lvl w:ilvl="0" w:tplc="761EDD8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6E29"/>
    <w:rsid w:val="000216BB"/>
    <w:rsid w:val="000A6F91"/>
    <w:rsid w:val="000B70C3"/>
    <w:rsid w:val="000D7B2E"/>
    <w:rsid w:val="000F5E8C"/>
    <w:rsid w:val="0011233E"/>
    <w:rsid w:val="00154786"/>
    <w:rsid w:val="0016263C"/>
    <w:rsid w:val="001853AA"/>
    <w:rsid w:val="00187D5B"/>
    <w:rsid w:val="00191A4F"/>
    <w:rsid w:val="001943B5"/>
    <w:rsid w:val="002313F8"/>
    <w:rsid w:val="002A4C5F"/>
    <w:rsid w:val="002C27EA"/>
    <w:rsid w:val="002D0BD0"/>
    <w:rsid w:val="002D39C7"/>
    <w:rsid w:val="002D6A4B"/>
    <w:rsid w:val="00307938"/>
    <w:rsid w:val="00351B31"/>
    <w:rsid w:val="00382F31"/>
    <w:rsid w:val="003C1DF2"/>
    <w:rsid w:val="003D6725"/>
    <w:rsid w:val="003E5A33"/>
    <w:rsid w:val="003E6E95"/>
    <w:rsid w:val="00432E90"/>
    <w:rsid w:val="00480874"/>
    <w:rsid w:val="00495505"/>
    <w:rsid w:val="00497B56"/>
    <w:rsid w:val="004A0F4B"/>
    <w:rsid w:val="004B0185"/>
    <w:rsid w:val="004B2F00"/>
    <w:rsid w:val="004C1AA0"/>
    <w:rsid w:val="004C3BD6"/>
    <w:rsid w:val="004D2F23"/>
    <w:rsid w:val="004E30A9"/>
    <w:rsid w:val="004F3AA2"/>
    <w:rsid w:val="005135FA"/>
    <w:rsid w:val="00563502"/>
    <w:rsid w:val="0059424E"/>
    <w:rsid w:val="005A5F96"/>
    <w:rsid w:val="005D164C"/>
    <w:rsid w:val="00621B44"/>
    <w:rsid w:val="00621E83"/>
    <w:rsid w:val="0063440A"/>
    <w:rsid w:val="00670324"/>
    <w:rsid w:val="006A1AF8"/>
    <w:rsid w:val="006E3A63"/>
    <w:rsid w:val="006F0AD7"/>
    <w:rsid w:val="00700EF3"/>
    <w:rsid w:val="007031AC"/>
    <w:rsid w:val="00726F53"/>
    <w:rsid w:val="00762C0D"/>
    <w:rsid w:val="007700C4"/>
    <w:rsid w:val="00781397"/>
    <w:rsid w:val="007B102B"/>
    <w:rsid w:val="007B6B32"/>
    <w:rsid w:val="007E57F8"/>
    <w:rsid w:val="007F19B1"/>
    <w:rsid w:val="00806A67"/>
    <w:rsid w:val="008141D2"/>
    <w:rsid w:val="00824582"/>
    <w:rsid w:val="00850509"/>
    <w:rsid w:val="00881A4F"/>
    <w:rsid w:val="008B3399"/>
    <w:rsid w:val="008D0D42"/>
    <w:rsid w:val="008D5674"/>
    <w:rsid w:val="008E5934"/>
    <w:rsid w:val="008F2F2C"/>
    <w:rsid w:val="00913AC7"/>
    <w:rsid w:val="00950EB9"/>
    <w:rsid w:val="00955678"/>
    <w:rsid w:val="009C3DFD"/>
    <w:rsid w:val="00A056CF"/>
    <w:rsid w:val="00A137E0"/>
    <w:rsid w:val="00A16FD2"/>
    <w:rsid w:val="00A26ADD"/>
    <w:rsid w:val="00A407EA"/>
    <w:rsid w:val="00A4561F"/>
    <w:rsid w:val="00A955CF"/>
    <w:rsid w:val="00AC093B"/>
    <w:rsid w:val="00AC396D"/>
    <w:rsid w:val="00AE0216"/>
    <w:rsid w:val="00AE1F58"/>
    <w:rsid w:val="00B33099"/>
    <w:rsid w:val="00B739FF"/>
    <w:rsid w:val="00B84375"/>
    <w:rsid w:val="00B94F10"/>
    <w:rsid w:val="00BA0348"/>
    <w:rsid w:val="00BB79B2"/>
    <w:rsid w:val="00BD74B2"/>
    <w:rsid w:val="00C0449E"/>
    <w:rsid w:val="00C10697"/>
    <w:rsid w:val="00C149CC"/>
    <w:rsid w:val="00C23BCD"/>
    <w:rsid w:val="00C34F44"/>
    <w:rsid w:val="00C643BE"/>
    <w:rsid w:val="00C647F3"/>
    <w:rsid w:val="00C750FC"/>
    <w:rsid w:val="00C8680F"/>
    <w:rsid w:val="00CB42F8"/>
    <w:rsid w:val="00CF2366"/>
    <w:rsid w:val="00D13339"/>
    <w:rsid w:val="00D149CF"/>
    <w:rsid w:val="00D24FD7"/>
    <w:rsid w:val="00D30287"/>
    <w:rsid w:val="00D53B72"/>
    <w:rsid w:val="00D74644"/>
    <w:rsid w:val="00D76FCD"/>
    <w:rsid w:val="00D979BF"/>
    <w:rsid w:val="00DA22AA"/>
    <w:rsid w:val="00DC0073"/>
    <w:rsid w:val="00DE7E5E"/>
    <w:rsid w:val="00DF63DC"/>
    <w:rsid w:val="00E21B8E"/>
    <w:rsid w:val="00E22EED"/>
    <w:rsid w:val="00E2312F"/>
    <w:rsid w:val="00E414B8"/>
    <w:rsid w:val="00E877F5"/>
    <w:rsid w:val="00E90616"/>
    <w:rsid w:val="00EB278A"/>
    <w:rsid w:val="00EB6ED7"/>
    <w:rsid w:val="00EC0D82"/>
    <w:rsid w:val="00ED57FE"/>
    <w:rsid w:val="00ED72CB"/>
    <w:rsid w:val="00F000D7"/>
    <w:rsid w:val="00F0387F"/>
    <w:rsid w:val="00F20B20"/>
    <w:rsid w:val="00F25D40"/>
    <w:rsid w:val="00F27401"/>
    <w:rsid w:val="00F35608"/>
    <w:rsid w:val="00F51DC7"/>
    <w:rsid w:val="00F545BC"/>
    <w:rsid w:val="00F846D9"/>
    <w:rsid w:val="00FB4F12"/>
    <w:rsid w:val="00FB6E29"/>
    <w:rsid w:val="00FE425C"/>
    <w:rsid w:val="00FE5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6C93A"/>
  <w15:chartTrackingRefBased/>
  <w15:docId w15:val="{092C8E82-E4FD-4082-A628-B62518ED1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D72C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FE425C"/>
    <w:pPr>
      <w:spacing w:after="0" w:line="240" w:lineRule="auto"/>
      <w:jc w:val="center"/>
      <w:outlineLvl w:val="1"/>
    </w:pPr>
    <w:rPr>
      <w:rFonts w:ascii="Verdana" w:eastAsia="Verdana" w:hAnsi="Verdana" w:cs="Times New Roman"/>
      <w:i/>
      <w:iCs/>
      <w:color w:val="000000"/>
      <w:sz w:val="26"/>
      <w:szCs w:val="26"/>
      <w:lang w:val="vi-VN" w:eastAsia="vi-VN"/>
    </w:rPr>
  </w:style>
  <w:style w:type="paragraph" w:styleId="Heading3">
    <w:name w:val="heading 3"/>
    <w:basedOn w:val="Normal"/>
    <w:next w:val="Normal"/>
    <w:link w:val="Heading3Char"/>
    <w:uiPriority w:val="9"/>
    <w:semiHidden/>
    <w:unhideWhenUsed/>
    <w:qFormat/>
    <w:rsid w:val="00FE425C"/>
    <w:pPr>
      <w:keepNext/>
      <w:spacing w:before="240" w:after="60" w:line="276" w:lineRule="auto"/>
      <w:outlineLvl w:val="2"/>
    </w:pPr>
    <w:rPr>
      <w:rFonts w:ascii="Calibri Light" w:eastAsia="Times New Roman" w:hAnsi="Calibri Light"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Geneva 9,Font: Geneva 9,Boston 10,f Char,f,Footnote Text Char Char Char Char Char,Footnote Text Char Char Char Char Char Char Ch,Footnote Text Char1 Char1,Footnote Text Char Char Char1,Footnote Text Char1 Char Char,fn,single space,ft"/>
    <w:basedOn w:val="Normal"/>
    <w:link w:val="FootnoteTextChar"/>
    <w:uiPriority w:val="99"/>
    <w:unhideWhenUsed/>
    <w:qFormat/>
    <w:rsid w:val="00C8680F"/>
    <w:pPr>
      <w:spacing w:after="0" w:line="240" w:lineRule="auto"/>
    </w:pPr>
    <w:rPr>
      <w:sz w:val="20"/>
      <w:szCs w:val="20"/>
    </w:rPr>
  </w:style>
  <w:style w:type="character" w:customStyle="1" w:styleId="FootnoteTextChar">
    <w:name w:val="Footnote Text Char"/>
    <w:aliases w:val="Geneva 9 Char,Font: Geneva 9 Char,Boston 10 Char,f Char Char,f Char1,Footnote Text Char Char Char Char Char Char,Footnote Text Char Char Char Char Char Char Ch Char,Footnote Text Char1 Char1 Char,Footnote Text Char Char Char1 Char"/>
    <w:basedOn w:val="DefaultParagraphFont"/>
    <w:link w:val="FootnoteText"/>
    <w:uiPriority w:val="99"/>
    <w:rsid w:val="00C8680F"/>
    <w:rPr>
      <w:sz w:val="20"/>
      <w:szCs w:val="20"/>
    </w:rPr>
  </w:style>
  <w:style w:type="character" w:styleId="FootnoteReference">
    <w:name w:val="footnote reference"/>
    <w:aliases w:val="Footnote text,Footnote,Ref,de nota al pie,Footnote text + 13 pt,ftref,fr,BVI fnr,Footnote Reference-BSA-AML,Ref. de nota al pie,Footnote symbol,Знак сноски-FN,callout,Rimando notaOreste,Rimando notaOreste1,Rimando notaOreste2,o"/>
    <w:basedOn w:val="DefaultParagraphFont"/>
    <w:uiPriority w:val="99"/>
    <w:unhideWhenUsed/>
    <w:qFormat/>
    <w:rsid w:val="00C8680F"/>
    <w:rPr>
      <w:vertAlign w:val="superscript"/>
    </w:rPr>
  </w:style>
  <w:style w:type="paragraph" w:styleId="ListParagraph">
    <w:name w:val="List Paragraph"/>
    <w:basedOn w:val="Normal"/>
    <w:link w:val="ListParagraphChar"/>
    <w:uiPriority w:val="34"/>
    <w:qFormat/>
    <w:rsid w:val="00BA0348"/>
    <w:pPr>
      <w:ind w:left="720"/>
      <w:contextualSpacing/>
    </w:pPr>
  </w:style>
  <w:style w:type="paragraph" w:customStyle="1" w:styleId="Default">
    <w:name w:val="Default"/>
    <w:rsid w:val="002C27EA"/>
    <w:pPr>
      <w:autoSpaceDE w:val="0"/>
      <w:autoSpaceDN w:val="0"/>
      <w:adjustRightInd w:val="0"/>
      <w:spacing w:after="0" w:line="240" w:lineRule="auto"/>
    </w:pPr>
    <w:rPr>
      <w:rFonts w:ascii="Segoe UI" w:hAnsi="Segoe UI" w:cs="Segoe UI"/>
      <w:color w:val="000000"/>
      <w:sz w:val="24"/>
      <w:szCs w:val="24"/>
    </w:rPr>
  </w:style>
  <w:style w:type="character" w:styleId="Hyperlink">
    <w:name w:val="Hyperlink"/>
    <w:basedOn w:val="DefaultParagraphFont"/>
    <w:uiPriority w:val="99"/>
    <w:unhideWhenUsed/>
    <w:rsid w:val="00806A67"/>
    <w:rPr>
      <w:color w:val="0563C1" w:themeColor="hyperlink"/>
      <w:u w:val="single"/>
    </w:rPr>
  </w:style>
  <w:style w:type="paragraph" w:styleId="PlainText">
    <w:name w:val="Plain Text"/>
    <w:basedOn w:val="Default"/>
    <w:next w:val="Default"/>
    <w:link w:val="PlainTextChar"/>
    <w:uiPriority w:val="99"/>
    <w:rsid w:val="000D7B2E"/>
    <w:rPr>
      <w:rFonts w:ascii="Verdana" w:hAnsi="Verdana" w:cstheme="minorBidi"/>
      <w:color w:val="auto"/>
    </w:rPr>
  </w:style>
  <w:style w:type="character" w:customStyle="1" w:styleId="PlainTextChar">
    <w:name w:val="Plain Text Char"/>
    <w:basedOn w:val="DefaultParagraphFont"/>
    <w:link w:val="PlainText"/>
    <w:uiPriority w:val="99"/>
    <w:rsid w:val="000D7B2E"/>
    <w:rPr>
      <w:rFonts w:ascii="Verdana" w:hAnsi="Verdana"/>
      <w:sz w:val="24"/>
      <w:szCs w:val="24"/>
    </w:rPr>
  </w:style>
  <w:style w:type="table" w:styleId="TableGrid">
    <w:name w:val="Table Grid"/>
    <w:basedOn w:val="TableNormal"/>
    <w:qFormat/>
    <w:rsid w:val="000D7B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76FC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6FCD"/>
    <w:rPr>
      <w:rFonts w:ascii="Segoe UI" w:hAnsi="Segoe UI" w:cs="Segoe UI"/>
      <w:sz w:val="18"/>
      <w:szCs w:val="18"/>
    </w:rPr>
  </w:style>
  <w:style w:type="paragraph" w:styleId="Header">
    <w:name w:val="header"/>
    <w:basedOn w:val="Normal"/>
    <w:link w:val="HeaderChar"/>
    <w:uiPriority w:val="99"/>
    <w:unhideWhenUsed/>
    <w:rsid w:val="00187D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7D5B"/>
  </w:style>
  <w:style w:type="paragraph" w:styleId="Footer">
    <w:name w:val="footer"/>
    <w:basedOn w:val="Normal"/>
    <w:link w:val="FooterChar"/>
    <w:uiPriority w:val="99"/>
    <w:unhideWhenUsed/>
    <w:rsid w:val="00187D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7D5B"/>
  </w:style>
  <w:style w:type="character" w:customStyle="1" w:styleId="Heading2Char">
    <w:name w:val="Heading 2 Char"/>
    <w:basedOn w:val="DefaultParagraphFont"/>
    <w:link w:val="Heading2"/>
    <w:rsid w:val="00FE425C"/>
    <w:rPr>
      <w:rFonts w:ascii="Verdana" w:eastAsia="Verdana" w:hAnsi="Verdana" w:cs="Times New Roman"/>
      <w:i/>
      <w:iCs/>
      <w:color w:val="000000"/>
      <w:sz w:val="26"/>
      <w:szCs w:val="26"/>
      <w:lang w:val="vi-VN" w:eastAsia="vi-VN"/>
    </w:rPr>
  </w:style>
  <w:style w:type="character" w:customStyle="1" w:styleId="Heading3Char">
    <w:name w:val="Heading 3 Char"/>
    <w:basedOn w:val="DefaultParagraphFont"/>
    <w:link w:val="Heading3"/>
    <w:uiPriority w:val="9"/>
    <w:semiHidden/>
    <w:rsid w:val="00FE425C"/>
    <w:rPr>
      <w:rFonts w:ascii="Calibri Light" w:eastAsia="Times New Roman" w:hAnsi="Calibri Light" w:cs="Times New Roman"/>
      <w:b/>
      <w:bCs/>
      <w:sz w:val="26"/>
      <w:szCs w:val="26"/>
    </w:rPr>
  </w:style>
  <w:style w:type="character" w:customStyle="1" w:styleId="ListParagraphChar">
    <w:name w:val="List Paragraph Char"/>
    <w:link w:val="ListParagraph"/>
    <w:uiPriority w:val="34"/>
    <w:locked/>
    <w:rsid w:val="00FE425C"/>
  </w:style>
  <w:style w:type="character" w:styleId="Strong">
    <w:name w:val="Strong"/>
    <w:uiPriority w:val="22"/>
    <w:qFormat/>
    <w:rsid w:val="00FE425C"/>
    <w:rPr>
      <w:b/>
      <w:bCs/>
    </w:rPr>
  </w:style>
  <w:style w:type="paragraph" w:customStyle="1" w:styleId="TableParagraph">
    <w:name w:val="Table Paragraph"/>
    <w:basedOn w:val="Normal"/>
    <w:uiPriority w:val="1"/>
    <w:qFormat/>
    <w:rsid w:val="00FE425C"/>
    <w:pPr>
      <w:widowControl w:val="0"/>
      <w:spacing w:after="0" w:line="240" w:lineRule="auto"/>
    </w:pPr>
    <w:rPr>
      <w:rFonts w:ascii="Times New Roman" w:eastAsia="Times New Roman" w:hAnsi="Times New Roman" w:cs="Times New Roman"/>
    </w:rPr>
  </w:style>
  <w:style w:type="paragraph" w:styleId="NormalWeb">
    <w:name w:val="Normal (Web)"/>
    <w:basedOn w:val="Normal"/>
    <w:uiPriority w:val="99"/>
    <w:semiHidden/>
    <w:unhideWhenUsed/>
    <w:rsid w:val="00D53B72"/>
    <w:rPr>
      <w:rFonts w:ascii="Times New Roman" w:hAnsi="Times New Roman" w:cs="Times New Roman"/>
      <w:sz w:val="24"/>
      <w:szCs w:val="24"/>
    </w:rPr>
  </w:style>
  <w:style w:type="character" w:styleId="FollowedHyperlink">
    <w:name w:val="FollowedHyperlink"/>
    <w:basedOn w:val="DefaultParagraphFont"/>
    <w:uiPriority w:val="99"/>
    <w:semiHidden/>
    <w:unhideWhenUsed/>
    <w:rsid w:val="008D5674"/>
    <w:rPr>
      <w:color w:val="954F72" w:themeColor="followedHyperlink"/>
      <w:u w:val="single"/>
    </w:rPr>
  </w:style>
  <w:style w:type="character" w:customStyle="1" w:styleId="Heading1Char">
    <w:name w:val="Heading 1 Char"/>
    <w:basedOn w:val="DefaultParagraphFont"/>
    <w:link w:val="Heading1"/>
    <w:uiPriority w:val="9"/>
    <w:rsid w:val="00ED72CB"/>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468816">
      <w:bodyDiv w:val="1"/>
      <w:marLeft w:val="0"/>
      <w:marRight w:val="0"/>
      <w:marTop w:val="0"/>
      <w:marBottom w:val="0"/>
      <w:divBdr>
        <w:top w:val="none" w:sz="0" w:space="0" w:color="auto"/>
        <w:left w:val="none" w:sz="0" w:space="0" w:color="auto"/>
        <w:bottom w:val="none" w:sz="0" w:space="0" w:color="auto"/>
        <w:right w:val="none" w:sz="0" w:space="0" w:color="auto"/>
      </w:divBdr>
    </w:div>
    <w:div w:id="1058476587">
      <w:bodyDiv w:val="1"/>
      <w:marLeft w:val="0"/>
      <w:marRight w:val="0"/>
      <w:marTop w:val="0"/>
      <w:marBottom w:val="0"/>
      <w:divBdr>
        <w:top w:val="none" w:sz="0" w:space="0" w:color="auto"/>
        <w:left w:val="none" w:sz="0" w:space="0" w:color="auto"/>
        <w:bottom w:val="none" w:sz="0" w:space="0" w:color="auto"/>
        <w:right w:val="none" w:sz="0" w:space="0" w:color="auto"/>
      </w:divBdr>
    </w:div>
    <w:div w:id="1599095497">
      <w:bodyDiv w:val="1"/>
      <w:marLeft w:val="0"/>
      <w:marRight w:val="0"/>
      <w:marTop w:val="0"/>
      <w:marBottom w:val="0"/>
      <w:divBdr>
        <w:top w:val="none" w:sz="0" w:space="0" w:color="auto"/>
        <w:left w:val="none" w:sz="0" w:space="0" w:color="auto"/>
        <w:bottom w:val="none" w:sz="0" w:space="0" w:color="auto"/>
        <w:right w:val="none" w:sz="0" w:space="0" w:color="auto"/>
      </w:divBdr>
    </w:div>
    <w:div w:id="1799302639">
      <w:bodyDiv w:val="1"/>
      <w:marLeft w:val="0"/>
      <w:marRight w:val="0"/>
      <w:marTop w:val="0"/>
      <w:marBottom w:val="0"/>
      <w:divBdr>
        <w:top w:val="none" w:sz="0" w:space="0" w:color="auto"/>
        <w:left w:val="none" w:sz="0" w:space="0" w:color="auto"/>
        <w:bottom w:val="none" w:sz="0" w:space="0" w:color="auto"/>
        <w:right w:val="none" w:sz="0" w:space="0" w:color="auto"/>
      </w:divBdr>
      <w:divsChild>
        <w:div w:id="49962544">
          <w:marLeft w:val="0"/>
          <w:marRight w:val="0"/>
          <w:marTop w:val="0"/>
          <w:marBottom w:val="0"/>
          <w:divBdr>
            <w:top w:val="none" w:sz="0" w:space="0" w:color="auto"/>
            <w:left w:val="none" w:sz="0" w:space="0" w:color="auto"/>
            <w:bottom w:val="none" w:sz="0" w:space="0" w:color="auto"/>
            <w:right w:val="none" w:sz="0" w:space="0" w:color="auto"/>
          </w:divBdr>
          <w:divsChild>
            <w:div w:id="1588884968">
              <w:marLeft w:val="0"/>
              <w:marRight w:val="0"/>
              <w:marTop w:val="0"/>
              <w:marBottom w:val="0"/>
              <w:divBdr>
                <w:top w:val="none" w:sz="0" w:space="0" w:color="auto"/>
                <w:left w:val="none" w:sz="0" w:space="0" w:color="auto"/>
                <w:bottom w:val="none" w:sz="0" w:space="0" w:color="auto"/>
                <w:right w:val="none" w:sz="0" w:space="0" w:color="auto"/>
              </w:divBdr>
              <w:divsChild>
                <w:div w:id="1336693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09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iadi.org/uploads/IADI_Annual_Trends_2023.pdf" TargetMode="External"/><Relationship Id="rId2" Type="http://schemas.openxmlformats.org/officeDocument/2006/relationships/hyperlink" Target="https://www.bis.org/fsi/publ/insights17.htm" TargetMode="External"/><Relationship Id="rId1" Type="http://schemas.openxmlformats.org/officeDocument/2006/relationships/hyperlink" Target="https://www.iadi.org/uploads/APRC_2011_Funding_paper_final_clean.pdf"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Số lượng tổ chức có chức năng kiểm tra nhằm xác nhận tính chính xác của hồ sơ tiền gửi</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Sheet1!$A$2:$A$6</c:f>
              <c:numCache>
                <c:formatCode>General</c:formatCode>
                <c:ptCount val="5"/>
                <c:pt idx="0">
                  <c:v>2020</c:v>
                </c:pt>
                <c:pt idx="1">
                  <c:v>2021</c:v>
                </c:pt>
                <c:pt idx="2">
                  <c:v>2022</c:v>
                </c:pt>
                <c:pt idx="3">
                  <c:v>2023</c:v>
                </c:pt>
                <c:pt idx="4">
                  <c:v>2024</c:v>
                </c:pt>
              </c:numCache>
            </c:numRef>
          </c:cat>
          <c:val>
            <c:numRef>
              <c:f>Sheet1!$B$2:$B$6</c:f>
              <c:numCache>
                <c:formatCode>General</c:formatCode>
                <c:ptCount val="5"/>
                <c:pt idx="0">
                  <c:v>37</c:v>
                </c:pt>
                <c:pt idx="1">
                  <c:v>47</c:v>
                </c:pt>
                <c:pt idx="2">
                  <c:v>47</c:v>
                </c:pt>
                <c:pt idx="3">
                  <c:v>45</c:v>
                </c:pt>
                <c:pt idx="4">
                  <c:v>49</c:v>
                </c:pt>
              </c:numCache>
            </c:numRef>
          </c:val>
          <c:extLst xmlns:c16r2="http://schemas.microsoft.com/office/drawing/2015/06/chart">
            <c:ext xmlns:c16="http://schemas.microsoft.com/office/drawing/2014/chart" uri="{C3380CC4-5D6E-409C-BE32-E72D297353CC}">
              <c16:uniqueId val="{00000000-5C33-475B-B4D2-B798C98163A5}"/>
            </c:ext>
          </c:extLst>
        </c:ser>
        <c:ser>
          <c:idx val="1"/>
          <c:order val="1"/>
          <c:tx>
            <c:strRef>
              <c:f>Sheet1!$C$1</c:f>
              <c:strCache>
                <c:ptCount val="1"/>
                <c:pt idx="0">
                  <c:v>Tổng số đơn vị tham gia trả lời khảo sát</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Sheet1!$A$2:$A$6</c:f>
              <c:numCache>
                <c:formatCode>General</c:formatCode>
                <c:ptCount val="5"/>
                <c:pt idx="0">
                  <c:v>2020</c:v>
                </c:pt>
                <c:pt idx="1">
                  <c:v>2021</c:v>
                </c:pt>
                <c:pt idx="2">
                  <c:v>2022</c:v>
                </c:pt>
                <c:pt idx="3">
                  <c:v>2023</c:v>
                </c:pt>
                <c:pt idx="4">
                  <c:v>2024</c:v>
                </c:pt>
              </c:numCache>
            </c:numRef>
          </c:cat>
          <c:val>
            <c:numRef>
              <c:f>Sheet1!$C$2:$C$6</c:f>
              <c:numCache>
                <c:formatCode>General</c:formatCode>
                <c:ptCount val="5"/>
                <c:pt idx="0">
                  <c:v>105</c:v>
                </c:pt>
                <c:pt idx="1">
                  <c:v>101</c:v>
                </c:pt>
                <c:pt idx="2">
                  <c:v>108</c:v>
                </c:pt>
                <c:pt idx="3">
                  <c:v>99</c:v>
                </c:pt>
                <c:pt idx="4">
                  <c:v>106</c:v>
                </c:pt>
              </c:numCache>
            </c:numRef>
          </c:val>
          <c:extLst xmlns:c16r2="http://schemas.microsoft.com/office/drawing/2015/06/chart">
            <c:ext xmlns:c16="http://schemas.microsoft.com/office/drawing/2014/chart" uri="{C3380CC4-5D6E-409C-BE32-E72D297353CC}">
              <c16:uniqueId val="{00000001-5C33-475B-B4D2-B798C98163A5}"/>
            </c:ext>
          </c:extLst>
        </c:ser>
        <c:dLbls>
          <c:showLegendKey val="0"/>
          <c:showVal val="1"/>
          <c:showCatName val="0"/>
          <c:showSerName val="0"/>
          <c:showPercent val="0"/>
          <c:showBubbleSize val="0"/>
        </c:dLbls>
        <c:gapWidth val="95"/>
        <c:axId val="-937475712"/>
        <c:axId val="-937473536"/>
      </c:barChart>
      <c:catAx>
        <c:axId val="-9374757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37473536"/>
        <c:crosses val="autoZero"/>
        <c:auto val="1"/>
        <c:lblAlgn val="ctr"/>
        <c:lblOffset val="100"/>
        <c:noMultiLvlLbl val="0"/>
      </c:catAx>
      <c:valAx>
        <c:axId val="-937473536"/>
        <c:scaling>
          <c:orientation val="minMax"/>
        </c:scaling>
        <c:delete val="1"/>
        <c:axPos val="l"/>
        <c:numFmt formatCode="General" sourceLinked="1"/>
        <c:majorTickMark val="none"/>
        <c:minorTickMark val="none"/>
        <c:tickLblPos val="nextTo"/>
        <c:crossAx val="-937475712"/>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5478D2C6DD5A4FBCA9633FB76EF110" ma:contentTypeVersion="0" ma:contentTypeDescription="Create a new document." ma:contentTypeScope="" ma:versionID="b6da3576b147be201284a637a4f33b0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5FEC5F-B8FA-4DF0-A466-5B01CF58FB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C65F868-B69A-4CB2-83CC-418AD5E74DCC}">
  <ds:schemaRefs>
    <ds:schemaRef ds:uri="http://schemas.microsoft.com/sharepoint/v3/contenttype/forms"/>
  </ds:schemaRefs>
</ds:datastoreItem>
</file>

<file path=customXml/itemProps3.xml><?xml version="1.0" encoding="utf-8"?>
<ds:datastoreItem xmlns:ds="http://schemas.openxmlformats.org/officeDocument/2006/customXml" ds:itemID="{EF0B7B0D-5739-47D2-B14C-EDCEDC2DF36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90EFB8F-449F-4D8E-AEE8-014AA35DB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68</Pages>
  <Words>19970</Words>
  <Characters>113834</Characters>
  <Application>Microsoft Office Word</Application>
  <DocSecurity>0</DocSecurity>
  <Lines>948</Lines>
  <Paragraphs>267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Dao Tran Thuy An (PC)</dc:creator>
  <cp:keywords/>
  <dc:description/>
  <cp:lastModifiedBy>Tran Mai Anh (PC)</cp:lastModifiedBy>
  <cp:revision>2</cp:revision>
  <cp:lastPrinted>2025-05-28T10:31:00Z</cp:lastPrinted>
  <dcterms:created xsi:type="dcterms:W3CDTF">2025-06-20T10:19:00Z</dcterms:created>
  <dcterms:modified xsi:type="dcterms:W3CDTF">2025-06-20T10:19:00Z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0x010100FB5478D2C6DD5A4FBCA9633FB76EF110</vt:lpwstr>
  </property>
</Properties>
</file>